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64B00" w14:textId="6515DB98" w:rsidR="00223F1D" w:rsidRPr="00443AC3" w:rsidRDefault="00223F1D" w:rsidP="00443AC3">
      <w:pPr>
        <w:jc w:val="center"/>
        <w:rPr>
          <w:b/>
          <w:bCs/>
        </w:rPr>
      </w:pPr>
      <w:r w:rsidRPr="00443AC3">
        <w:rPr>
          <w:b/>
          <w:bCs/>
        </w:rPr>
        <w:t>INDICE</w:t>
      </w:r>
    </w:p>
    <w:p w14:paraId="525A075C" w14:textId="07827605" w:rsidR="00223F1D" w:rsidRPr="00443AC3" w:rsidRDefault="00223F1D" w:rsidP="00443AC3">
      <w:pPr>
        <w:jc w:val="center"/>
        <w:rPr>
          <w:b/>
          <w:bCs/>
        </w:rPr>
      </w:pPr>
      <w:r w:rsidRPr="00443AC3">
        <w:rPr>
          <w:b/>
          <w:bCs/>
        </w:rPr>
        <w:t>PODER EJECUTIVO</w:t>
      </w:r>
    </w:p>
    <w:p w14:paraId="62D92E7C" w14:textId="43DA142E" w:rsidR="00223F1D" w:rsidRDefault="00223F1D" w:rsidP="00443AC3">
      <w:pPr>
        <w:jc w:val="both"/>
      </w:pPr>
    </w:p>
    <w:p w14:paraId="40D931A0" w14:textId="2637975A" w:rsidR="00223F1D" w:rsidRPr="00443AC3" w:rsidRDefault="00443AC3" w:rsidP="00443AC3">
      <w:pPr>
        <w:jc w:val="both"/>
        <w:rPr>
          <w:b/>
          <w:bCs/>
          <w:u w:val="single"/>
        </w:rPr>
      </w:pPr>
      <w:r w:rsidRPr="00443AC3">
        <w:rPr>
          <w:b/>
          <w:bCs/>
          <w:u w:val="single"/>
        </w:rPr>
        <w:t>SECRETARIA</w:t>
      </w:r>
      <w:r w:rsidR="00223F1D" w:rsidRPr="00443AC3">
        <w:rPr>
          <w:b/>
          <w:bCs/>
          <w:u w:val="single"/>
        </w:rPr>
        <w:t xml:space="preserve"> DE GOBERNACION</w:t>
      </w:r>
    </w:p>
    <w:p w14:paraId="3FAD6B84" w14:textId="0FC0AC07" w:rsidR="00223F1D" w:rsidRDefault="00223F1D" w:rsidP="00443AC3">
      <w:pPr>
        <w:jc w:val="both"/>
      </w:pPr>
    </w:p>
    <w:p w14:paraId="7B028E80" w14:textId="77777777" w:rsidR="00223F1D" w:rsidRDefault="00223F1D" w:rsidP="00443AC3">
      <w:pPr>
        <w:jc w:val="both"/>
      </w:pPr>
      <w:r>
        <w:t>Convenio Marco de Coordinación que celebran la Secretaría de Gobernación y el Estado de Jalisco, que tiene por objeto establecer las líneas de acción a fin de coordinar y evaluar la aplicación de la política de población en la entidad, en cualquiera de los temas o fenómenos demográficos que deseen abordar.</w:t>
      </w:r>
    </w:p>
    <w:p w14:paraId="2C21C5C1" w14:textId="12BC0A2F" w:rsidR="00223F1D" w:rsidRDefault="00223F1D" w:rsidP="00443AC3">
      <w:pPr>
        <w:jc w:val="both"/>
      </w:pPr>
    </w:p>
    <w:p w14:paraId="38B98C8B" w14:textId="5CFE049C" w:rsidR="00223F1D" w:rsidRPr="00443AC3" w:rsidRDefault="00443AC3" w:rsidP="00443AC3">
      <w:pPr>
        <w:jc w:val="both"/>
        <w:rPr>
          <w:b/>
          <w:bCs/>
          <w:u w:val="single"/>
        </w:rPr>
      </w:pPr>
      <w:r w:rsidRPr="00443AC3">
        <w:rPr>
          <w:b/>
          <w:bCs/>
          <w:u w:val="single"/>
        </w:rPr>
        <w:t>SECRETARIA</w:t>
      </w:r>
      <w:r w:rsidR="00223F1D" w:rsidRPr="00443AC3">
        <w:rPr>
          <w:b/>
          <w:bCs/>
          <w:u w:val="single"/>
        </w:rPr>
        <w:t xml:space="preserve"> DE MARINA</w:t>
      </w:r>
    </w:p>
    <w:p w14:paraId="41517FD8" w14:textId="6D94338D" w:rsidR="00223F1D" w:rsidRDefault="00223F1D" w:rsidP="00443AC3">
      <w:pPr>
        <w:jc w:val="both"/>
      </w:pPr>
    </w:p>
    <w:p w14:paraId="6EA26904" w14:textId="77777777" w:rsidR="00223F1D" w:rsidRDefault="00223F1D" w:rsidP="00443AC3">
      <w:pPr>
        <w:jc w:val="both"/>
      </w:pPr>
      <w:r>
        <w:t>Decreto por el que se reforman, adicionan y derogan diversas disposiciones del Reglamento Interior de la Secretaría de Marina.</w:t>
      </w:r>
    </w:p>
    <w:p w14:paraId="67A3BFB4" w14:textId="1803C990" w:rsidR="00223F1D" w:rsidRDefault="00223F1D" w:rsidP="00443AC3">
      <w:pPr>
        <w:jc w:val="both"/>
      </w:pPr>
    </w:p>
    <w:p w14:paraId="0FFE42F9" w14:textId="5E992875" w:rsidR="00223F1D" w:rsidRPr="00443AC3" w:rsidRDefault="00443AC3" w:rsidP="00443AC3">
      <w:pPr>
        <w:jc w:val="both"/>
        <w:rPr>
          <w:b/>
          <w:bCs/>
          <w:u w:val="single"/>
        </w:rPr>
      </w:pPr>
      <w:r w:rsidRPr="00443AC3">
        <w:rPr>
          <w:b/>
          <w:bCs/>
          <w:u w:val="single"/>
        </w:rPr>
        <w:t>SECRETARIA</w:t>
      </w:r>
      <w:r w:rsidR="00223F1D" w:rsidRPr="00443AC3">
        <w:rPr>
          <w:b/>
          <w:bCs/>
          <w:u w:val="single"/>
        </w:rPr>
        <w:t xml:space="preserve"> DE SEGURIDAD Y PROTECCION CIUDADANA</w:t>
      </w:r>
    </w:p>
    <w:p w14:paraId="6A3E019C" w14:textId="698A8C1A" w:rsidR="00223F1D" w:rsidRDefault="00223F1D" w:rsidP="00443AC3">
      <w:pPr>
        <w:jc w:val="both"/>
      </w:pPr>
    </w:p>
    <w:p w14:paraId="67D0A538" w14:textId="77777777" w:rsidR="00223F1D" w:rsidRDefault="00223F1D" w:rsidP="00443AC3">
      <w:pPr>
        <w:jc w:val="both"/>
      </w:pPr>
      <w:r>
        <w:t>Declaratoria de Emergencia por la presencia de inundación fluvial ocurrida el día 19 de noviembre de 2020, para 4 municipios del Estado de Chiapas.</w:t>
      </w:r>
    </w:p>
    <w:p w14:paraId="4A5F5698" w14:textId="2C979B43" w:rsidR="00223F1D" w:rsidRDefault="00223F1D" w:rsidP="00443AC3">
      <w:pPr>
        <w:jc w:val="both"/>
      </w:pPr>
    </w:p>
    <w:p w14:paraId="4689EBB8" w14:textId="289A8217" w:rsidR="00223F1D" w:rsidRPr="00443AC3" w:rsidRDefault="00443AC3" w:rsidP="00443AC3">
      <w:pPr>
        <w:jc w:val="both"/>
        <w:rPr>
          <w:b/>
          <w:bCs/>
          <w:u w:val="single"/>
        </w:rPr>
      </w:pPr>
      <w:r w:rsidRPr="00443AC3">
        <w:rPr>
          <w:b/>
          <w:bCs/>
          <w:u w:val="single"/>
        </w:rPr>
        <w:t>SECRETARIA</w:t>
      </w:r>
      <w:r w:rsidR="00223F1D" w:rsidRPr="00443AC3">
        <w:rPr>
          <w:b/>
          <w:bCs/>
          <w:u w:val="single"/>
        </w:rPr>
        <w:t xml:space="preserve"> DE HACIENDA Y CREDITO PUBLICO</w:t>
      </w:r>
    </w:p>
    <w:p w14:paraId="056FAA2D" w14:textId="032DA03C" w:rsidR="00223F1D" w:rsidRDefault="00223F1D" w:rsidP="00443AC3">
      <w:pPr>
        <w:jc w:val="both"/>
      </w:pPr>
    </w:p>
    <w:p w14:paraId="27E0412A" w14:textId="77777777" w:rsidR="00223F1D" w:rsidRDefault="00223F1D" w:rsidP="00443AC3">
      <w:pPr>
        <w:jc w:val="both"/>
      </w:pPr>
      <w:r>
        <w:t>Decreto por el que se reforman, adicionan y derogan diversas disposiciones de la Ley del Impuesto sobre la Renta, de la Ley del Impuesto al Valor Agregado y del Código Fiscal de la Federación.</w:t>
      </w:r>
    </w:p>
    <w:p w14:paraId="2182A515" w14:textId="0868C8A9" w:rsidR="00223F1D" w:rsidRDefault="00223F1D" w:rsidP="00443AC3">
      <w:pPr>
        <w:jc w:val="both"/>
      </w:pPr>
    </w:p>
    <w:p w14:paraId="2C03DAD1" w14:textId="77777777" w:rsidR="00223F1D" w:rsidRDefault="00223F1D" w:rsidP="00443AC3">
      <w:pPr>
        <w:jc w:val="both"/>
      </w:pPr>
      <w:r>
        <w:t>Decreto por el que se reforman, adicionan y derogan diversas disposiciones de la Ley Federal de Derechos.</w:t>
      </w:r>
    </w:p>
    <w:p w14:paraId="2AEE42A4" w14:textId="452B1182" w:rsidR="00223F1D" w:rsidRDefault="00223F1D" w:rsidP="00443AC3">
      <w:pPr>
        <w:jc w:val="both"/>
      </w:pPr>
    </w:p>
    <w:p w14:paraId="117F68B2" w14:textId="4AD751C0" w:rsidR="00223F1D" w:rsidRPr="00443AC3" w:rsidRDefault="00443AC3" w:rsidP="00443AC3">
      <w:pPr>
        <w:jc w:val="both"/>
        <w:rPr>
          <w:b/>
          <w:bCs/>
          <w:u w:val="single"/>
        </w:rPr>
      </w:pPr>
      <w:r w:rsidRPr="00443AC3">
        <w:rPr>
          <w:b/>
          <w:bCs/>
          <w:u w:val="single"/>
        </w:rPr>
        <w:t>SECRETARIA</w:t>
      </w:r>
      <w:r w:rsidR="00223F1D" w:rsidRPr="00443AC3">
        <w:rPr>
          <w:b/>
          <w:bCs/>
          <w:u w:val="single"/>
        </w:rPr>
        <w:t xml:space="preserve"> DE ENERGIA</w:t>
      </w:r>
    </w:p>
    <w:p w14:paraId="5FE02358" w14:textId="77777777" w:rsidR="00223F1D" w:rsidRDefault="00223F1D" w:rsidP="00443AC3">
      <w:pPr>
        <w:jc w:val="both"/>
      </w:pPr>
      <w:r>
        <w:t>.</w:t>
      </w:r>
    </w:p>
    <w:p w14:paraId="34B8C707" w14:textId="36E6AAFA" w:rsidR="00223F1D" w:rsidRDefault="00223F1D" w:rsidP="00443AC3">
      <w:pPr>
        <w:jc w:val="both"/>
      </w:pPr>
    </w:p>
    <w:p w14:paraId="2FB82C23" w14:textId="77777777" w:rsidR="00223F1D" w:rsidRDefault="00223F1D" w:rsidP="00443AC3">
      <w:pPr>
        <w:jc w:val="both"/>
      </w:pPr>
      <w:r>
        <w:t>Proyecto de Modificación a la Norma Oficial Mexicana NOM-027- NUCL-1996, Especificaciones de diseño para las instalaciones radiactivas Tipo II Clases A, B y C.</w:t>
      </w:r>
    </w:p>
    <w:p w14:paraId="47821753" w14:textId="77777777" w:rsidR="00223F1D" w:rsidRDefault="00223F1D" w:rsidP="00443AC3">
      <w:pPr>
        <w:jc w:val="both"/>
      </w:pPr>
      <w:r>
        <w:t>.</w:t>
      </w:r>
    </w:p>
    <w:p w14:paraId="64C5B879" w14:textId="4A3A1067" w:rsidR="00223F1D" w:rsidRDefault="00223F1D" w:rsidP="00443AC3">
      <w:pPr>
        <w:jc w:val="both"/>
      </w:pPr>
    </w:p>
    <w:p w14:paraId="1042D453" w14:textId="77777777" w:rsidR="00223F1D" w:rsidRDefault="00223F1D" w:rsidP="00443AC3">
      <w:pPr>
        <w:jc w:val="both"/>
      </w:pPr>
      <w:r>
        <w:t>Respuesta a los comentarios recibidos durante el proceso de consulta pública del Proyecto de Norma Oficial Mexicana NOM-042-NUCL-2019, Categorización de sustancias fisionables y otros materiales radiactivos y requisitos de seguridad física nuclear para su transporte, publicado el 4 de octubre de 2019.</w:t>
      </w:r>
    </w:p>
    <w:p w14:paraId="6ED829E0" w14:textId="77777777" w:rsidR="00223F1D" w:rsidRDefault="00223F1D" w:rsidP="00443AC3">
      <w:pPr>
        <w:jc w:val="both"/>
      </w:pPr>
      <w:r>
        <w:t>.</w:t>
      </w:r>
    </w:p>
    <w:p w14:paraId="75CB5947" w14:textId="52C5AB5A" w:rsidR="00223F1D" w:rsidRDefault="00443AC3" w:rsidP="00443AC3">
      <w:pPr>
        <w:jc w:val="both"/>
      </w:pPr>
      <w:r>
        <w:t>SECRETARIA</w:t>
      </w:r>
      <w:r w:rsidR="00223F1D">
        <w:t xml:space="preserve"> DE SALUD</w:t>
      </w:r>
    </w:p>
    <w:p w14:paraId="152CF002" w14:textId="77777777" w:rsidR="00223F1D" w:rsidRDefault="00223F1D" w:rsidP="00443AC3">
      <w:pPr>
        <w:jc w:val="both"/>
      </w:pPr>
      <w:r>
        <w:t>.</w:t>
      </w:r>
    </w:p>
    <w:p w14:paraId="78002FE6" w14:textId="309416EF" w:rsidR="00223F1D" w:rsidRDefault="00223F1D" w:rsidP="00443AC3">
      <w:pPr>
        <w:jc w:val="both"/>
      </w:pPr>
    </w:p>
    <w:p w14:paraId="3A3A8D15" w14:textId="77777777" w:rsidR="00223F1D" w:rsidRDefault="00223F1D" w:rsidP="00443AC3">
      <w:pPr>
        <w:jc w:val="both"/>
      </w:pPr>
      <w:r>
        <w:t>Acuerdo que modifica el diverso por el que se emiten las Reglas de Operación del Programa Seguro Médico Siglo XXI, para el ejercicio fiscal 2020, publicado el 28 de diciembre de 2019.</w:t>
      </w:r>
    </w:p>
    <w:p w14:paraId="73432249" w14:textId="77777777" w:rsidR="00223F1D" w:rsidRDefault="00223F1D" w:rsidP="00443AC3">
      <w:pPr>
        <w:jc w:val="both"/>
      </w:pPr>
      <w:r>
        <w:t>.</w:t>
      </w:r>
    </w:p>
    <w:p w14:paraId="71874B8B" w14:textId="3C40AEA8" w:rsidR="00223F1D" w:rsidRDefault="00223F1D" w:rsidP="00443AC3">
      <w:pPr>
        <w:jc w:val="both"/>
      </w:pPr>
    </w:p>
    <w:p w14:paraId="6E6A0B9B" w14:textId="77777777" w:rsidR="00223F1D" w:rsidRDefault="00223F1D" w:rsidP="00443AC3">
      <w:pPr>
        <w:jc w:val="both"/>
      </w:pPr>
      <w:r>
        <w:lastRenderedPageBreak/>
        <w:t>Convenio Específico en materia de transferencia de recursos federales con el carácter de subsidios, para fortalecer la ejecución y desarrollo del programa y proyectos federales de Protección contra Riesgos Sanitarios, así como de la Red Nacional de Laboratorios, correspondiente al ejercicio fiscal 2020, que celebran la Secretaría de Salud y el Estado de Guanajuato.</w:t>
      </w:r>
    </w:p>
    <w:p w14:paraId="754C19BD" w14:textId="77777777" w:rsidR="00223F1D" w:rsidRDefault="00223F1D" w:rsidP="00443AC3">
      <w:pPr>
        <w:jc w:val="both"/>
      </w:pPr>
      <w:r>
        <w:t>.</w:t>
      </w:r>
    </w:p>
    <w:p w14:paraId="03845F2D" w14:textId="18794916" w:rsidR="00223F1D" w:rsidRDefault="00223F1D" w:rsidP="00443AC3">
      <w:pPr>
        <w:jc w:val="both"/>
      </w:pPr>
    </w:p>
    <w:p w14:paraId="0843EA0A" w14:textId="77777777" w:rsidR="00223F1D" w:rsidRDefault="00223F1D" w:rsidP="00443AC3">
      <w:pPr>
        <w:jc w:val="both"/>
      </w:pPr>
      <w:r>
        <w:t>Convenio Específico en materia de transferencia de recursos federales con el carácter de subsidios, para fortalecer la ejecución y desarrollo del programa y proyectos federales de Protección contra Riesgos Sanitarios, así como de la Red Nacional de Laboratorios, correspondiente al ejercicio fiscal 2020, que celebran la Secretaría de Salud y el Estado de Nuevo León.</w:t>
      </w:r>
    </w:p>
    <w:p w14:paraId="307626F3" w14:textId="77777777" w:rsidR="00223F1D" w:rsidRDefault="00223F1D" w:rsidP="00443AC3">
      <w:pPr>
        <w:jc w:val="both"/>
      </w:pPr>
      <w:r>
        <w:t>.</w:t>
      </w:r>
    </w:p>
    <w:p w14:paraId="3FC0FD49" w14:textId="7FF5939A" w:rsidR="00223F1D" w:rsidRDefault="00223F1D" w:rsidP="00443AC3">
      <w:pPr>
        <w:jc w:val="both"/>
      </w:pPr>
    </w:p>
    <w:p w14:paraId="69C1BE85" w14:textId="77777777" w:rsidR="00223F1D" w:rsidRDefault="00223F1D" w:rsidP="00443AC3">
      <w:pPr>
        <w:jc w:val="both"/>
      </w:pPr>
      <w:r>
        <w:t>Convenio Específico en materia de transferencia de recursos federales con el carácter de subsidios, para fortalecer la ejecución y desarrollo del programa y proyectos federales de Protección contra Riesgos Sanitarios, así como de la Red Nacional de Laboratorios, correspondiente al ejercicio fiscal 2020, que celebran la Secretaría de Salud y el Estado de Oaxaca.</w:t>
      </w:r>
    </w:p>
    <w:p w14:paraId="48B6EED3" w14:textId="77777777" w:rsidR="00223F1D" w:rsidRDefault="00223F1D" w:rsidP="00443AC3">
      <w:pPr>
        <w:jc w:val="both"/>
      </w:pPr>
      <w:r>
        <w:t>.</w:t>
      </w:r>
    </w:p>
    <w:p w14:paraId="2CF4EDD2" w14:textId="0B2C6725" w:rsidR="00223F1D" w:rsidRDefault="00223F1D" w:rsidP="00443AC3">
      <w:pPr>
        <w:jc w:val="both"/>
      </w:pPr>
    </w:p>
    <w:p w14:paraId="4B544A9C" w14:textId="77777777" w:rsidR="00223F1D" w:rsidRDefault="00223F1D" w:rsidP="00443AC3">
      <w:pPr>
        <w:jc w:val="both"/>
      </w:pPr>
      <w:r>
        <w:t>Convenio Específico en materia de transferencia de recursos federales con el carácter de subsidios para fortalecer la ejecución y desarrollo del programa y proyectos federales de Protección contra Riesgos Sanitarios, así como de la Red Nacional de Laboratorios, correspondiente al ejercicio fiscal 2020, que celebran la Secretaría de Salud y el Estado de Tlaxcala.</w:t>
      </w:r>
    </w:p>
    <w:p w14:paraId="7BBF1AC9" w14:textId="77777777" w:rsidR="00223F1D" w:rsidRDefault="00223F1D" w:rsidP="00443AC3">
      <w:pPr>
        <w:jc w:val="both"/>
      </w:pPr>
      <w:r>
        <w:t>.</w:t>
      </w:r>
    </w:p>
    <w:p w14:paraId="6D73823C" w14:textId="417DB502" w:rsidR="00223F1D" w:rsidRDefault="00223F1D" w:rsidP="00443AC3">
      <w:pPr>
        <w:jc w:val="both"/>
      </w:pPr>
    </w:p>
    <w:p w14:paraId="03582353" w14:textId="77777777" w:rsidR="00223F1D" w:rsidRDefault="00223F1D" w:rsidP="00443AC3">
      <w:pPr>
        <w:jc w:val="both"/>
      </w:pPr>
      <w:r>
        <w:t>Convenio Específico en materia de transferencia de recursos federales con el carácter de subsidios para fortalecer la ejecución y desarrollo del programa y proyectos federales de Protección contra Riesgos Sanitarios, así como de la Red Nacional de Laboratorios, correspondiente al ejercicio fiscal 2020, que celebran la Secretaría de Salud y el Estado de Veracruz de Ignacio de la Llave.</w:t>
      </w:r>
    </w:p>
    <w:p w14:paraId="674FCD70" w14:textId="77777777" w:rsidR="00223F1D" w:rsidRDefault="00223F1D" w:rsidP="00443AC3">
      <w:pPr>
        <w:jc w:val="both"/>
      </w:pPr>
      <w:r>
        <w:t>.</w:t>
      </w:r>
    </w:p>
    <w:p w14:paraId="7B893AEB" w14:textId="0E95DAE8" w:rsidR="00223F1D" w:rsidRDefault="00223F1D" w:rsidP="00443AC3">
      <w:pPr>
        <w:jc w:val="both"/>
      </w:pPr>
    </w:p>
    <w:p w14:paraId="5AA64587" w14:textId="77777777" w:rsidR="00223F1D" w:rsidRDefault="00223F1D" w:rsidP="00443AC3">
      <w:pPr>
        <w:jc w:val="both"/>
      </w:pPr>
      <w:r>
        <w:t>Convenio Específico en materia de transferencia de recursos federales con el carácter de subsidios para fortalecer la ejecución y desarrollo del programa y proyectos federales de Protección contra Riesgos Sanitarios, así como de la Red Nacional de Laboratorios, correspondiente al ejercicio fiscal 2020, que celebran la Secretaría de Salud y el Estado de Yucatán.</w:t>
      </w:r>
    </w:p>
    <w:p w14:paraId="37C62522" w14:textId="77777777" w:rsidR="00223F1D" w:rsidRDefault="00223F1D" w:rsidP="00443AC3">
      <w:pPr>
        <w:jc w:val="both"/>
      </w:pPr>
      <w:r>
        <w:t>.</w:t>
      </w:r>
    </w:p>
    <w:p w14:paraId="478B6211" w14:textId="25FBAD35" w:rsidR="00223F1D" w:rsidRDefault="00223F1D" w:rsidP="00443AC3">
      <w:pPr>
        <w:jc w:val="both"/>
      </w:pPr>
    </w:p>
    <w:p w14:paraId="493E026A" w14:textId="77777777" w:rsidR="00223F1D" w:rsidRDefault="00223F1D" w:rsidP="00443AC3">
      <w:pPr>
        <w:jc w:val="both"/>
      </w:pPr>
      <w:r>
        <w:t>Convenio Específico en materia de transferencia de recursos federales con el carácter de subsidios para fortalecer la ejecución y desarrollo del programa y proyectos federales de Protección contra Riesgos Sanitarios, así como de la Red Nacional de Laboratorios, correspondiente al ejercicio fiscal 2020, que celebran la Secretaría de Salud y el Estado de Zacatecas.</w:t>
      </w:r>
    </w:p>
    <w:p w14:paraId="6AEF66FC" w14:textId="77777777" w:rsidR="00223F1D" w:rsidRDefault="00223F1D" w:rsidP="00443AC3">
      <w:pPr>
        <w:jc w:val="both"/>
      </w:pPr>
      <w:r>
        <w:t>.</w:t>
      </w:r>
    </w:p>
    <w:p w14:paraId="7D4EC083" w14:textId="5C95A9B3" w:rsidR="00223F1D" w:rsidRDefault="00443AC3" w:rsidP="00443AC3">
      <w:pPr>
        <w:jc w:val="both"/>
      </w:pPr>
      <w:r>
        <w:t>SECRETARIA</w:t>
      </w:r>
      <w:r w:rsidR="00223F1D">
        <w:t xml:space="preserve"> DEL TRABAJO Y PREVISION SOCIAL</w:t>
      </w:r>
    </w:p>
    <w:p w14:paraId="513C623E" w14:textId="77777777" w:rsidR="00223F1D" w:rsidRDefault="00223F1D" w:rsidP="00443AC3">
      <w:pPr>
        <w:jc w:val="both"/>
      </w:pPr>
      <w:r>
        <w:t>.</w:t>
      </w:r>
    </w:p>
    <w:p w14:paraId="1491B9B8" w14:textId="43308333" w:rsidR="00223F1D" w:rsidRDefault="00223F1D" w:rsidP="00443AC3">
      <w:pPr>
        <w:jc w:val="both"/>
      </w:pPr>
    </w:p>
    <w:p w14:paraId="358E8F7A" w14:textId="77777777" w:rsidR="00223F1D" w:rsidRDefault="00223F1D" w:rsidP="00443AC3">
      <w:pPr>
        <w:jc w:val="both"/>
      </w:pPr>
      <w:r>
        <w:t>Convocatoria para la Convención Obrero Patronal Revisora del Contrato Ley de la Industria de la Radio y la Televisión.</w:t>
      </w:r>
    </w:p>
    <w:p w14:paraId="392307AC" w14:textId="77777777" w:rsidR="00223F1D" w:rsidRDefault="00223F1D" w:rsidP="00443AC3">
      <w:pPr>
        <w:jc w:val="both"/>
      </w:pPr>
      <w:r>
        <w:t xml:space="preserve"> </w:t>
      </w:r>
    </w:p>
    <w:p w14:paraId="0FEA2ED9" w14:textId="77777777" w:rsidR="00223F1D" w:rsidRDefault="00223F1D" w:rsidP="00443AC3">
      <w:pPr>
        <w:jc w:val="both"/>
      </w:pPr>
      <w:r>
        <w:t xml:space="preserve"> ORGANISMOS AUTONOMOS</w:t>
      </w:r>
    </w:p>
    <w:p w14:paraId="2613FABF" w14:textId="77777777" w:rsidR="00223F1D" w:rsidRDefault="00223F1D" w:rsidP="00443AC3">
      <w:pPr>
        <w:jc w:val="both"/>
      </w:pPr>
      <w:r>
        <w:lastRenderedPageBreak/>
        <w:t>.</w:t>
      </w:r>
    </w:p>
    <w:p w14:paraId="678748E7" w14:textId="1086558A" w:rsidR="00223F1D" w:rsidRDefault="00223F1D" w:rsidP="00443AC3">
      <w:pPr>
        <w:jc w:val="both"/>
      </w:pPr>
      <w:r>
        <w:t xml:space="preserve"> BANCO DE MEXICO</w:t>
      </w:r>
    </w:p>
    <w:p w14:paraId="4C04A5C0" w14:textId="77777777" w:rsidR="00223F1D" w:rsidRDefault="00223F1D" w:rsidP="00443AC3">
      <w:pPr>
        <w:jc w:val="both"/>
      </w:pPr>
      <w:r>
        <w:t>.</w:t>
      </w:r>
    </w:p>
    <w:p w14:paraId="69579CCD" w14:textId="3726172A" w:rsidR="00223F1D" w:rsidRDefault="00223F1D" w:rsidP="00443AC3">
      <w:pPr>
        <w:jc w:val="both"/>
      </w:pPr>
    </w:p>
    <w:p w14:paraId="61274D72" w14:textId="77777777" w:rsidR="00223F1D" w:rsidRDefault="00223F1D" w:rsidP="00443AC3">
      <w:pPr>
        <w:jc w:val="both"/>
      </w:pPr>
      <w:r>
        <w:t>Tipo de cambio para solventar obligaciones denominadas en moneda extranjera pagaderas en la República Mexicana.</w:t>
      </w:r>
    </w:p>
    <w:p w14:paraId="3BD2FA9C" w14:textId="77777777" w:rsidR="00223F1D" w:rsidRDefault="00223F1D" w:rsidP="00443AC3">
      <w:pPr>
        <w:jc w:val="both"/>
      </w:pPr>
      <w:r>
        <w:t>.</w:t>
      </w:r>
    </w:p>
    <w:p w14:paraId="27E5179A" w14:textId="4B5385B7" w:rsidR="00223F1D" w:rsidRDefault="00223F1D" w:rsidP="00443AC3">
      <w:pPr>
        <w:jc w:val="both"/>
      </w:pPr>
    </w:p>
    <w:p w14:paraId="1AC73C20" w14:textId="77777777" w:rsidR="00223F1D" w:rsidRDefault="00223F1D" w:rsidP="00443AC3">
      <w:pPr>
        <w:jc w:val="both"/>
      </w:pPr>
      <w:r>
        <w:t>Tasas de interés interbancarias de equilibrio.</w:t>
      </w:r>
    </w:p>
    <w:p w14:paraId="685A4E8C" w14:textId="77777777" w:rsidR="00223F1D" w:rsidRDefault="00223F1D" w:rsidP="00443AC3">
      <w:pPr>
        <w:jc w:val="both"/>
      </w:pPr>
      <w:r>
        <w:t>.</w:t>
      </w:r>
    </w:p>
    <w:p w14:paraId="6B84302A" w14:textId="5E3DA70E" w:rsidR="00223F1D" w:rsidRDefault="00223F1D" w:rsidP="00443AC3">
      <w:pPr>
        <w:jc w:val="both"/>
      </w:pPr>
    </w:p>
    <w:p w14:paraId="4938BD42" w14:textId="77777777" w:rsidR="00223F1D" w:rsidRDefault="00223F1D" w:rsidP="00443AC3">
      <w:pPr>
        <w:jc w:val="both"/>
      </w:pPr>
      <w:r>
        <w:t>Tasa de interés interbancaria de equilibrio de fondeo a un día hábil bancario.</w:t>
      </w:r>
    </w:p>
    <w:p w14:paraId="20C16C83" w14:textId="77777777" w:rsidR="00223F1D" w:rsidRDefault="00223F1D" w:rsidP="00443AC3">
      <w:pPr>
        <w:jc w:val="both"/>
      </w:pPr>
      <w:r>
        <w:t>.</w:t>
      </w:r>
    </w:p>
    <w:p w14:paraId="376CA7C5" w14:textId="77777777" w:rsidR="00223F1D" w:rsidRDefault="00223F1D" w:rsidP="00443AC3">
      <w:pPr>
        <w:jc w:val="both"/>
      </w:pPr>
    </w:p>
    <w:p w14:paraId="5E6D03A9" w14:textId="77777777" w:rsidR="00223F1D" w:rsidRDefault="00223F1D" w:rsidP="00443AC3">
      <w:pPr>
        <w:jc w:val="both"/>
      </w:pPr>
    </w:p>
    <w:p w14:paraId="17325518" w14:textId="77777777" w:rsidR="00223F1D" w:rsidRDefault="00223F1D" w:rsidP="00443AC3">
      <w:pPr>
        <w:jc w:val="both"/>
      </w:pPr>
      <w:r>
        <w:t xml:space="preserve">    CONVOCATORIAS PARA CONCURSOS DE ADQUISICIONES, ARRENDAMIENTOS, OBRAS Y SERVICIOS DEL SECTOR PUBLICO</w:t>
      </w:r>
    </w:p>
    <w:p w14:paraId="00F74660" w14:textId="77777777" w:rsidR="00223F1D" w:rsidRDefault="00223F1D" w:rsidP="00443AC3">
      <w:pPr>
        <w:jc w:val="both"/>
      </w:pPr>
    </w:p>
    <w:p w14:paraId="29537D62" w14:textId="77777777" w:rsidR="00223F1D" w:rsidRDefault="00223F1D" w:rsidP="00443AC3">
      <w:pPr>
        <w:jc w:val="both"/>
      </w:pPr>
      <w:r>
        <w:t xml:space="preserve">   </w:t>
      </w:r>
    </w:p>
    <w:p w14:paraId="02FDEE66" w14:textId="77777777" w:rsidR="00223F1D" w:rsidRDefault="00223F1D" w:rsidP="00443AC3">
      <w:pPr>
        <w:jc w:val="both"/>
      </w:pPr>
      <w:r>
        <w:t>Acceso por búsqueda avanzada</w:t>
      </w:r>
    </w:p>
    <w:p w14:paraId="62AF7D35" w14:textId="77777777" w:rsidR="00223F1D" w:rsidRDefault="00223F1D" w:rsidP="00443AC3">
      <w:pPr>
        <w:jc w:val="both"/>
      </w:pPr>
    </w:p>
    <w:p w14:paraId="01633AA8" w14:textId="77777777" w:rsidR="00223F1D" w:rsidRDefault="00223F1D" w:rsidP="00443AC3">
      <w:pPr>
        <w:jc w:val="both"/>
      </w:pPr>
    </w:p>
    <w:p w14:paraId="56CDEA0A" w14:textId="77777777" w:rsidR="00223F1D" w:rsidRDefault="00223F1D" w:rsidP="00443AC3">
      <w:pPr>
        <w:jc w:val="both"/>
      </w:pPr>
      <w:r>
        <w:t xml:space="preserve">    AVISOS JUDICIALES Y GENERALES</w:t>
      </w:r>
    </w:p>
    <w:p w14:paraId="34986584" w14:textId="77777777" w:rsidR="00223F1D" w:rsidRDefault="00223F1D" w:rsidP="00443AC3">
      <w:pPr>
        <w:jc w:val="both"/>
      </w:pPr>
    </w:p>
    <w:p w14:paraId="557B3CC3" w14:textId="77777777" w:rsidR="00223F1D" w:rsidRDefault="00223F1D" w:rsidP="00443AC3">
      <w:pPr>
        <w:jc w:val="both"/>
      </w:pPr>
      <w:r>
        <w:t xml:space="preserve">   </w:t>
      </w:r>
    </w:p>
    <w:p w14:paraId="714A2ECA" w14:textId="73D6ED70" w:rsidR="00FB11CA" w:rsidRDefault="00223F1D" w:rsidP="00443AC3">
      <w:pPr>
        <w:jc w:val="both"/>
      </w:pPr>
      <w:r>
        <w:t>Acceso por búsqueda avanzada</w:t>
      </w:r>
    </w:p>
    <w:sectPr w:rsidR="00FB11CA">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ED8B8A" w14:textId="77777777" w:rsidR="00FC0096" w:rsidRDefault="00FC0096" w:rsidP="00223F1D">
      <w:r>
        <w:separator/>
      </w:r>
    </w:p>
  </w:endnote>
  <w:endnote w:type="continuationSeparator" w:id="0">
    <w:p w14:paraId="59C9B3E2" w14:textId="77777777" w:rsidR="00FC0096" w:rsidRDefault="00FC0096" w:rsidP="0022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8BCED" w14:textId="77777777" w:rsidR="00FC0096" w:rsidRDefault="00FC0096" w:rsidP="00223F1D">
      <w:r>
        <w:separator/>
      </w:r>
    </w:p>
  </w:footnote>
  <w:footnote w:type="continuationSeparator" w:id="0">
    <w:p w14:paraId="7EFBE239" w14:textId="77777777" w:rsidR="00FC0096" w:rsidRDefault="00FC0096" w:rsidP="0022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75787" w14:textId="1CFFAE6C" w:rsidR="00223F1D" w:rsidRPr="00223F1D" w:rsidRDefault="00223F1D" w:rsidP="00223F1D">
    <w:pPr>
      <w:pStyle w:val="Fechas"/>
      <w:rPr>
        <w:rFonts w:cs="Times New Roman"/>
      </w:rPr>
    </w:pPr>
    <w:r>
      <w:rPr>
        <w:rFonts w:cs="Times New Roman"/>
      </w:rPr>
      <w:tab/>
      <w:t>DIARIO OFICIAL</w:t>
    </w:r>
    <w:r>
      <w:rPr>
        <w:rFonts w:cs="Times New Roman"/>
      </w:rPr>
      <w:tab/>
    </w:r>
    <w:proofErr w:type="gramStart"/>
    <w:r>
      <w:rPr>
        <w:rFonts w:cs="Times New Roman"/>
      </w:rPr>
      <w:t>Martes</w:t>
    </w:r>
    <w:proofErr w:type="gramEnd"/>
    <w:r>
      <w:rPr>
        <w:rFonts w:cs="Times New Roman"/>
      </w:rPr>
      <w:t xml:space="preserve"> 8 de diciembre de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F1D"/>
    <w:rsid w:val="00223F1D"/>
    <w:rsid w:val="00443AC3"/>
    <w:rsid w:val="00D70FB6"/>
    <w:rsid w:val="00FB11CA"/>
    <w:rsid w:val="00FC00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F117B"/>
  <w15:chartTrackingRefBased/>
  <w15:docId w15:val="{BD13D482-9D46-4A89-B339-8EB2B7DE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3F1D"/>
    <w:pPr>
      <w:tabs>
        <w:tab w:val="center" w:pos="4419"/>
        <w:tab w:val="right" w:pos="8838"/>
      </w:tabs>
    </w:pPr>
  </w:style>
  <w:style w:type="character" w:customStyle="1" w:styleId="EncabezadoCar">
    <w:name w:val="Encabezado Car"/>
    <w:basedOn w:val="Fuentedeprrafopredeter"/>
    <w:link w:val="Encabezado"/>
    <w:uiPriority w:val="99"/>
    <w:rsid w:val="00223F1D"/>
  </w:style>
  <w:style w:type="paragraph" w:styleId="Piedepgina">
    <w:name w:val="footer"/>
    <w:basedOn w:val="Normal"/>
    <w:link w:val="PiedepginaCar"/>
    <w:uiPriority w:val="99"/>
    <w:unhideWhenUsed/>
    <w:rsid w:val="00223F1D"/>
    <w:pPr>
      <w:tabs>
        <w:tab w:val="center" w:pos="4419"/>
        <w:tab w:val="right" w:pos="8838"/>
      </w:tabs>
    </w:pPr>
  </w:style>
  <w:style w:type="character" w:customStyle="1" w:styleId="PiedepginaCar">
    <w:name w:val="Pie de página Car"/>
    <w:basedOn w:val="Fuentedeprrafopredeter"/>
    <w:link w:val="Piedepgina"/>
    <w:uiPriority w:val="99"/>
    <w:rsid w:val="00223F1D"/>
  </w:style>
  <w:style w:type="paragraph" w:customStyle="1" w:styleId="Fechas">
    <w:name w:val="Fechas"/>
    <w:basedOn w:val="Normal"/>
    <w:autoRedefine/>
    <w:rsid w:val="00223F1D"/>
    <w:pPr>
      <w:widowControl w:val="0"/>
      <w:pBdr>
        <w:bottom w:val="double" w:sz="6" w:space="1" w:color="auto"/>
      </w:pBdr>
      <w:tabs>
        <w:tab w:val="center" w:pos="4464"/>
        <w:tab w:val="right" w:pos="8582"/>
      </w:tabs>
      <w:snapToGrid w:val="0"/>
      <w:ind w:left="288" w:right="288"/>
      <w:jc w:val="both"/>
    </w:pPr>
    <w:rPr>
      <w:rFonts w:ascii="Times New Roman" w:eastAsia="Times New Roman" w:hAnsi="Times New Roman" w:cs="Arial"/>
      <w:sz w:val="18"/>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0831930">
      <w:bodyDiv w:val="1"/>
      <w:marLeft w:val="0"/>
      <w:marRight w:val="0"/>
      <w:marTop w:val="0"/>
      <w:marBottom w:val="0"/>
      <w:divBdr>
        <w:top w:val="none" w:sz="0" w:space="0" w:color="auto"/>
        <w:left w:val="none" w:sz="0" w:space="0" w:color="auto"/>
        <w:bottom w:val="none" w:sz="0" w:space="0" w:color="auto"/>
        <w:right w:val="none" w:sz="0" w:space="0" w:color="auto"/>
      </w:divBdr>
    </w:div>
    <w:div w:id="154135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772</Words>
  <Characters>4250</Characters>
  <Application>Microsoft Office Word</Application>
  <DocSecurity>0</DocSecurity>
  <Lines>35</Lines>
  <Paragraphs>10</Paragraphs>
  <ScaleCrop>false</ScaleCrop>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DAVID-HDEZ-M</dc:creator>
  <cp:keywords/>
  <dc:description/>
  <cp:lastModifiedBy>DAVID-HDEZ-M</cp:lastModifiedBy>
  <cp:revision>2</cp:revision>
  <dcterms:created xsi:type="dcterms:W3CDTF">2020-12-08T18:26:00Z</dcterms:created>
  <dcterms:modified xsi:type="dcterms:W3CDTF">2020-12-18T17:03:00Z</dcterms:modified>
</cp:coreProperties>
</file>