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C5" w:rsidRPr="00D83134" w:rsidRDefault="00C63AC5" w:rsidP="00D83134">
      <w:pPr>
        <w:spacing w:after="0" w:line="326" w:lineRule="exact"/>
        <w:ind w:right="620"/>
        <w:jc w:val="center"/>
        <w:outlineLvl w:val="0"/>
        <w:rPr>
          <w:rFonts w:ascii="Times New Roman" w:eastAsia="Times New Roman" w:hAnsi="Times New Roman" w:cs="Times New Roman"/>
          <w:b/>
          <w:bCs/>
          <w:sz w:val="20"/>
          <w:szCs w:val="20"/>
          <w:lang w:eastAsia="es-MX"/>
        </w:rPr>
      </w:pPr>
      <w:r w:rsidRPr="00D83134">
        <w:rPr>
          <w:rFonts w:ascii="Times New Roman" w:eastAsia="Times New Roman" w:hAnsi="Times New Roman" w:cs="Times New Roman"/>
          <w:b/>
          <w:bCs/>
          <w:sz w:val="20"/>
          <w:szCs w:val="20"/>
          <w:lang w:eastAsia="es-MX"/>
        </w:rPr>
        <w:t>INDICE</w:t>
      </w:r>
    </w:p>
    <w:p w:rsidR="00C63AC5" w:rsidRPr="00D83134" w:rsidRDefault="00C63AC5" w:rsidP="00D83134">
      <w:pPr>
        <w:spacing w:after="0" w:line="326" w:lineRule="exact"/>
        <w:ind w:right="620"/>
        <w:jc w:val="center"/>
        <w:outlineLvl w:val="0"/>
        <w:rPr>
          <w:rFonts w:ascii="Times New Roman" w:eastAsia="Times New Roman" w:hAnsi="Times New Roman" w:cs="Times New Roman"/>
          <w:b/>
          <w:bCs/>
          <w:sz w:val="20"/>
          <w:szCs w:val="20"/>
          <w:lang w:eastAsia="es-MX"/>
        </w:rPr>
      </w:pPr>
      <w:r w:rsidRPr="00D83134">
        <w:rPr>
          <w:rFonts w:ascii="Times New Roman" w:eastAsia="Times New Roman" w:hAnsi="Times New Roman" w:cs="Times New Roman"/>
          <w:b/>
          <w:bCs/>
          <w:sz w:val="20"/>
          <w:szCs w:val="20"/>
          <w:lang w:eastAsia="es-MX"/>
        </w:rPr>
        <w:t xml:space="preserve"> PODER EJECUTIVO</w:t>
      </w:r>
    </w:p>
    <w:p w:rsidR="00C63AC5" w:rsidRDefault="00C63AC5" w:rsidP="00D83134">
      <w:pPr>
        <w:pStyle w:val="sum"/>
        <w:spacing w:line="326" w:lineRule="exact"/>
        <w:ind w:right="620"/>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 GOBERNACION</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 xml:space="preserve">Convenio de Coordinación que celebran la Secretaría de Gobernación y el Estado de Veracruz de Ignacio de la Llave, que tiene por objeto el otorgamiento de subsidios para el Proyecto para la implementación de una estrategia de consolidación de los resolutivos en materia de justicia y reparación de la Declaratoria de Alerta de Violencia de Género contra las Mujeres por violencia </w:t>
      </w:r>
      <w:proofErr w:type="spellStart"/>
      <w:r w:rsidRPr="00D83134">
        <w:rPr>
          <w:szCs w:val="18"/>
          <w:lang w:val="es-MX"/>
        </w:rPr>
        <w:t>feminicida</w:t>
      </w:r>
      <w:proofErr w:type="spellEnd"/>
      <w:r w:rsidRPr="00D83134">
        <w:rPr>
          <w:szCs w:val="18"/>
          <w:lang w:val="es-MX"/>
        </w:rPr>
        <w:t xml:space="preserve"> 2019.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 xml:space="preserve">Convenio de Coordinación que celebran la Secretaría de Gobernación y el Estado de Veracruz </w:t>
      </w:r>
      <w:proofErr w:type="gramStart"/>
      <w:r w:rsidRPr="00D83134">
        <w:rPr>
          <w:szCs w:val="18"/>
          <w:lang w:val="es-MX"/>
        </w:rPr>
        <w:t>de  Ignacio</w:t>
      </w:r>
      <w:proofErr w:type="gramEnd"/>
      <w:r w:rsidRPr="00D83134">
        <w:rPr>
          <w:szCs w:val="18"/>
          <w:lang w:val="es-MX"/>
        </w:rPr>
        <w:t xml:space="preserve"> de la Llave, que tiene por objeto el otorgamiento de subsidios para el proyecto Acciones  eficaces para la atención de las Declaratorias de Alerta de Violencia de Género en Veracruz 2019.  </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 xml:space="preserve">Convenio de Coordinación que celebran la Secretaría de Gobernación y el Estado de Veracruz de Ignacio de la Llave, que tiene por objeto el otorgamiento de subsidios para el Proyecto para la implementación de una estrategia de consolidación de los resolutivos en materia de justicia y reparación de la Declaratoria de Alerta de Violencia de Género contra las Mujeres por agravio comparado 2019.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Convenio de Coordinación que celebran la Secretaría de Gobernación y el Estado de Guerrero, que tiene por objeto el otorgamiento de subsidios para el proyecto denominado Estrategias de fortalecimiento interinstitucional para la atención de la Declaratoria de Alerta de Violencia de Género-Diseñar campañas con enfoque intercultural, de disuasión y reeducación respecto de la violencia  de  género  contra  las  mujeres,  para  modificar  la  percepción  ciudadana  en  función</w:t>
      </w:r>
      <w:r w:rsidR="00D83134">
        <w:rPr>
          <w:szCs w:val="18"/>
          <w:lang w:val="es-MX"/>
        </w:rPr>
        <w:t xml:space="preserve"> </w:t>
      </w:r>
      <w:r w:rsidRPr="00D83134">
        <w:rPr>
          <w:szCs w:val="18"/>
          <w:lang w:val="es-MX"/>
        </w:rPr>
        <w:t xml:space="preserve">de visibilizar este fenómeno.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Convenio de Coordinación que celebran la Secretaría de Gobernación y el Estado de Guerrero, que tiene por objeto el otorgamiento de subsidios para el proyecto denominado Estrategias de fortalecimiento interinstitucional para la atención de la Declaratoria de Alerta de Violencia de Género-Actualizar e implementar los Modelos Regionales de Atención a Mujeres en situación</w:t>
      </w:r>
      <w:r w:rsidR="00D83134">
        <w:rPr>
          <w:szCs w:val="18"/>
          <w:lang w:val="es-MX"/>
        </w:rPr>
        <w:t xml:space="preserve"> </w:t>
      </w:r>
      <w:r w:rsidRPr="00D83134">
        <w:rPr>
          <w:szCs w:val="18"/>
          <w:lang w:val="es-MX"/>
        </w:rPr>
        <w:t xml:space="preserve">de violencia. </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 xml:space="preserve">Convenio de Coordinación que celebran la Secretaría de Gobernación y el Estado de Zacatecas, que tiene por objeto el otorgamiento de subsidios para el proyecto Implementación del Modelo de Disuasión Focalizada de la Violencia de Género.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 RELACIONES EXTERIORES</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Calendario de presupuesto autorizado a las unidades administrativas responsables que forman</w:t>
      </w:r>
      <w:r w:rsidR="00D83134">
        <w:rPr>
          <w:szCs w:val="18"/>
          <w:lang w:val="es-MX"/>
        </w:rPr>
        <w:t xml:space="preserve"> </w:t>
      </w:r>
      <w:r w:rsidRPr="00D83134">
        <w:rPr>
          <w:szCs w:val="18"/>
          <w:lang w:val="es-MX"/>
        </w:rPr>
        <w:t xml:space="preserve">parte del Ramo 05 Relaciones Exteriores para el Ejercicio Fiscal 2020.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 MEDIO AMBIENTE Y RECURSOS NATURALES</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Decreto por el que se reforma el primer párrafo del artículo 120 y se adiciona una fracción VI Bis</w:t>
      </w:r>
    </w:p>
    <w:p w:rsidR="00C63AC5" w:rsidRPr="00D83134" w:rsidRDefault="00C63AC5" w:rsidP="00D83134">
      <w:pPr>
        <w:pStyle w:val="sum"/>
        <w:spacing w:line="326" w:lineRule="exact"/>
        <w:ind w:right="620"/>
        <w:rPr>
          <w:szCs w:val="18"/>
          <w:lang w:val="es-MX"/>
        </w:rPr>
      </w:pPr>
      <w:r w:rsidRPr="00D83134">
        <w:rPr>
          <w:szCs w:val="18"/>
          <w:lang w:val="es-MX"/>
        </w:rPr>
        <w:t xml:space="preserve">al artículo 88 Bis, de la Ley de Aguas Nacionales.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 ECONOMIA</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Aviso para dar a conocer el calendario para aplicar el examen de aspirante a Corredor Público en</w:t>
      </w:r>
      <w:r w:rsidR="00D83134">
        <w:rPr>
          <w:szCs w:val="18"/>
          <w:lang w:val="es-MX"/>
        </w:rPr>
        <w:t xml:space="preserve"> </w:t>
      </w:r>
      <w:r w:rsidRPr="00D83134">
        <w:rPr>
          <w:szCs w:val="18"/>
          <w:lang w:val="es-MX"/>
        </w:rPr>
        <w:t xml:space="preserve">el año 2020.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 LA FUNCION PUBLICA</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Calendario de presupuesto autorizado a las Unidades Administrativas para el ejercicio fiscal 2020</w:t>
      </w:r>
      <w:r w:rsidR="00D83134">
        <w:rPr>
          <w:szCs w:val="18"/>
          <w:lang w:val="es-MX"/>
        </w:rPr>
        <w:t xml:space="preserve"> </w:t>
      </w:r>
      <w:r w:rsidRPr="00D83134">
        <w:rPr>
          <w:szCs w:val="18"/>
          <w:lang w:val="es-MX"/>
        </w:rPr>
        <w:t xml:space="preserve">de la Secretaría de la Función Pública.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 EDUCACION PUBLICA</w:t>
      </w:r>
    </w:p>
    <w:p w:rsidR="00C63AC5" w:rsidRPr="00D83134" w:rsidRDefault="00C63AC5" w:rsidP="00D83134">
      <w:pPr>
        <w:pStyle w:val="sum"/>
        <w:spacing w:line="326" w:lineRule="exact"/>
        <w:ind w:right="620"/>
        <w:rPr>
          <w:szCs w:val="18"/>
          <w:lang w:val="es-MX"/>
        </w:rPr>
      </w:pPr>
    </w:p>
    <w:p w:rsidR="00C63AC5" w:rsidRDefault="00C63AC5" w:rsidP="00D83134">
      <w:pPr>
        <w:pStyle w:val="sum"/>
        <w:spacing w:line="326" w:lineRule="exact"/>
        <w:ind w:right="620"/>
        <w:rPr>
          <w:szCs w:val="18"/>
          <w:lang w:val="es-MX"/>
        </w:rPr>
      </w:pPr>
      <w:proofErr w:type="gramStart"/>
      <w:r w:rsidRPr="00D83134">
        <w:rPr>
          <w:szCs w:val="18"/>
          <w:lang w:val="es-MX"/>
        </w:rPr>
        <w:t>Decreto  por</w:t>
      </w:r>
      <w:proofErr w:type="gramEnd"/>
      <w:r w:rsidRPr="00D83134">
        <w:rPr>
          <w:szCs w:val="18"/>
          <w:lang w:val="es-MX"/>
        </w:rPr>
        <w:t xml:space="preserve">  el  que  se  reforman,  adicionan  y derogan  diversas  disposiciones  de  la  Ley  de</w:t>
      </w:r>
      <w:r w:rsidR="00D83134">
        <w:rPr>
          <w:szCs w:val="18"/>
          <w:lang w:val="es-MX"/>
        </w:rPr>
        <w:t xml:space="preserve"> </w:t>
      </w:r>
      <w:r w:rsidRPr="00D83134">
        <w:rPr>
          <w:szCs w:val="18"/>
          <w:lang w:val="es-MX"/>
        </w:rPr>
        <w:t xml:space="preserve">Premios, Estímulos y Recompensas Civiles. </w:t>
      </w:r>
      <w:r w:rsidR="00192C98">
        <w:rPr>
          <w:szCs w:val="18"/>
          <w:lang w:val="es-MX"/>
        </w:rPr>
        <w:tab/>
      </w:r>
    </w:p>
    <w:p w:rsidR="00D83134" w:rsidRPr="00D83134" w:rsidRDefault="00D83134"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 SALUD</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 xml:space="preserve">Convenio Específico de Colaboración para la transferencia de recursos presupuestarios federales con   el   carácter   de   </w:t>
      </w:r>
      <w:proofErr w:type="gramStart"/>
      <w:r w:rsidRPr="00D83134">
        <w:rPr>
          <w:szCs w:val="18"/>
          <w:lang w:val="es-MX"/>
        </w:rPr>
        <w:t xml:space="preserve">subsidios,   </w:t>
      </w:r>
      <w:proofErr w:type="gramEnd"/>
      <w:r w:rsidRPr="00D83134">
        <w:rPr>
          <w:szCs w:val="18"/>
          <w:lang w:val="es-MX"/>
        </w:rPr>
        <w:t>para   la   ejecución   de   proyectos   y/o   reconocimientos cuyo  propósito  es  contribuir  a  desarrollar  el  Programa  Calidad  en  la  Atención  Médica, que celebran  la Secretaría  de Salud  y  el  Instituto Mexicano  del Seguro Social (Delegación</w:t>
      </w:r>
      <w:r w:rsidR="00D83134">
        <w:rPr>
          <w:szCs w:val="18"/>
          <w:lang w:val="es-MX"/>
        </w:rPr>
        <w:t xml:space="preserve"> </w:t>
      </w:r>
      <w:r w:rsidRPr="00D83134">
        <w:rPr>
          <w:szCs w:val="18"/>
          <w:lang w:val="es-MX"/>
        </w:rPr>
        <w:t xml:space="preserve">Regional Nuevo León).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DEL TRABAJO Y PREVISION SOCIAL</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proofErr w:type="gramStart"/>
      <w:r w:rsidRPr="00D83134">
        <w:rPr>
          <w:szCs w:val="18"/>
          <w:lang w:val="es-MX"/>
        </w:rPr>
        <w:t>Decreto  por</w:t>
      </w:r>
      <w:proofErr w:type="gramEnd"/>
      <w:r w:rsidRPr="00D83134">
        <w:rPr>
          <w:szCs w:val="18"/>
          <w:lang w:val="es-MX"/>
        </w:rPr>
        <w:t xml:space="preserve">  el  que  se  expide  la  Ley  Orgánica  del  Centro  Federal  de  Conciliación  y</w:t>
      </w:r>
      <w:r w:rsidR="00D83134">
        <w:rPr>
          <w:szCs w:val="18"/>
          <w:lang w:val="es-MX"/>
        </w:rPr>
        <w:t xml:space="preserve"> </w:t>
      </w:r>
      <w:r w:rsidRPr="00D83134">
        <w:rPr>
          <w:szCs w:val="18"/>
          <w:lang w:val="es-MX"/>
        </w:rPr>
        <w:t xml:space="preserve">Registro Laboral.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SECRETARIA DE DESARROLLO AGRARIO, TERRITORIAL Y URBANO</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proofErr w:type="gramStart"/>
      <w:r w:rsidRPr="00D83134">
        <w:rPr>
          <w:szCs w:val="18"/>
          <w:lang w:val="es-MX"/>
        </w:rPr>
        <w:t>Decreto  por</w:t>
      </w:r>
      <w:proofErr w:type="gramEnd"/>
      <w:r w:rsidRPr="00D83134">
        <w:rPr>
          <w:szCs w:val="18"/>
          <w:lang w:val="es-MX"/>
        </w:rPr>
        <w:t xml:space="preserve">  el  que  se  adiciona  una  fracción  XXIX  Bis  al  artículo  3  de  la  Ley  General  de</w:t>
      </w:r>
      <w:r w:rsidR="00D83134">
        <w:rPr>
          <w:szCs w:val="18"/>
          <w:lang w:val="es-MX"/>
        </w:rPr>
        <w:t xml:space="preserve"> </w:t>
      </w:r>
      <w:r w:rsidRPr="00D83134">
        <w:rPr>
          <w:szCs w:val="18"/>
          <w:lang w:val="es-MX"/>
        </w:rPr>
        <w:t xml:space="preserve">Asentamientos Humanos, Ordenamiento Territorial y Desarrollo Urbano.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Calendario Mensual de Presupuesto de Egresos para el Ejercicio Fiscal 2020 del Ramo 15</w:t>
      </w:r>
      <w:r w:rsidR="00D83134">
        <w:rPr>
          <w:szCs w:val="18"/>
          <w:lang w:val="es-MX"/>
        </w:rPr>
        <w:t xml:space="preserve"> </w:t>
      </w:r>
      <w:r w:rsidRPr="00D83134">
        <w:rPr>
          <w:szCs w:val="18"/>
          <w:lang w:val="es-MX"/>
        </w:rPr>
        <w:t xml:space="preserve">Desarrollo Agrario, Territorial y Urbano por Unidad Responsable.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INSTITUTO NACIONAL DE LOS PUEBLOS INDIGENAS</w:t>
      </w:r>
    </w:p>
    <w:p w:rsidR="00C63AC5" w:rsidRPr="00D83134" w:rsidRDefault="00C63AC5" w:rsidP="00D83134">
      <w:pPr>
        <w:pStyle w:val="sum"/>
        <w:spacing w:line="326" w:lineRule="exact"/>
        <w:ind w:right="620"/>
        <w:rPr>
          <w:szCs w:val="18"/>
          <w:lang w:val="es-MX"/>
        </w:rPr>
      </w:pPr>
    </w:p>
    <w:p w:rsidR="00C63AC5" w:rsidRDefault="00C63AC5" w:rsidP="00D83134">
      <w:pPr>
        <w:pStyle w:val="sum"/>
        <w:spacing w:line="326" w:lineRule="exact"/>
        <w:ind w:right="620"/>
        <w:rPr>
          <w:szCs w:val="18"/>
          <w:lang w:val="es-MX"/>
        </w:rPr>
      </w:pPr>
      <w:r w:rsidRPr="00D83134">
        <w:rPr>
          <w:szCs w:val="18"/>
          <w:lang w:val="es-MX"/>
        </w:rPr>
        <w:t xml:space="preserve">Convenio de Coordinación y Concertación de Acciones para la ejecución del Programa de Infraestructura Indígena, para la construcción del Sistema de saneamiento para beneficiar a la localidad de San Pedro </w:t>
      </w:r>
      <w:proofErr w:type="spellStart"/>
      <w:r w:rsidRPr="00D83134">
        <w:rPr>
          <w:szCs w:val="18"/>
          <w:lang w:val="es-MX"/>
        </w:rPr>
        <w:t>Cotzilnam</w:t>
      </w:r>
      <w:proofErr w:type="spellEnd"/>
      <w:r w:rsidRPr="00D83134">
        <w:rPr>
          <w:szCs w:val="18"/>
          <w:lang w:val="es-MX"/>
        </w:rPr>
        <w:t>, que celebran el Instituto Nacional de los Pueblos Indígenas y</w:t>
      </w:r>
      <w:r w:rsidR="00D83134">
        <w:rPr>
          <w:szCs w:val="18"/>
          <w:lang w:val="es-MX"/>
        </w:rPr>
        <w:t xml:space="preserve"> </w:t>
      </w:r>
      <w:r w:rsidRPr="00D83134">
        <w:rPr>
          <w:szCs w:val="18"/>
          <w:lang w:val="es-MX"/>
        </w:rPr>
        <w:t xml:space="preserve">el Municipio de Aldama, Estado de Chiapas. </w:t>
      </w:r>
      <w:r w:rsidR="00192C98">
        <w:rPr>
          <w:szCs w:val="18"/>
          <w:lang w:val="es-MX"/>
        </w:rPr>
        <w:tab/>
      </w:r>
    </w:p>
    <w:p w:rsidR="00D83134" w:rsidRPr="00D83134" w:rsidRDefault="00D83134"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 xml:space="preserve">Convenio de Coordinación y Concertación de Acciones para la ejecución del Programa de Infraestructura Indígena, para la modernización y ampliación del camino </w:t>
      </w:r>
      <w:proofErr w:type="spellStart"/>
      <w:r w:rsidRPr="00D83134">
        <w:rPr>
          <w:szCs w:val="18"/>
          <w:lang w:val="es-MX"/>
        </w:rPr>
        <w:t>Xulumo</w:t>
      </w:r>
      <w:proofErr w:type="spellEnd"/>
      <w:r w:rsidRPr="00D83134">
        <w:rPr>
          <w:szCs w:val="18"/>
          <w:lang w:val="es-MX"/>
        </w:rPr>
        <w:t xml:space="preserve">-San Pedro San Pedro </w:t>
      </w:r>
      <w:proofErr w:type="spellStart"/>
      <w:r w:rsidRPr="00D83134">
        <w:rPr>
          <w:szCs w:val="18"/>
          <w:lang w:val="es-MX"/>
        </w:rPr>
        <w:t>Cotzilnam</w:t>
      </w:r>
      <w:proofErr w:type="spellEnd"/>
      <w:r w:rsidRPr="00D83134">
        <w:rPr>
          <w:szCs w:val="18"/>
          <w:lang w:val="es-MX"/>
        </w:rPr>
        <w:t xml:space="preserve">, tramo: del km 0+000 al km 5+281.45, </w:t>
      </w:r>
      <w:proofErr w:type="spellStart"/>
      <w:r w:rsidRPr="00D83134">
        <w:rPr>
          <w:szCs w:val="18"/>
          <w:lang w:val="es-MX"/>
        </w:rPr>
        <w:t>subtramo</w:t>
      </w:r>
      <w:proofErr w:type="spellEnd"/>
      <w:r w:rsidRPr="00D83134">
        <w:rPr>
          <w:szCs w:val="18"/>
          <w:lang w:val="es-MX"/>
        </w:rPr>
        <w:t xml:space="preserve"> del km 0+000 al km 2+000, que </w:t>
      </w:r>
      <w:proofErr w:type="gramStart"/>
      <w:r w:rsidRPr="00D83134">
        <w:rPr>
          <w:szCs w:val="18"/>
          <w:lang w:val="es-MX"/>
        </w:rPr>
        <w:t>celebran  el</w:t>
      </w:r>
      <w:proofErr w:type="gramEnd"/>
      <w:r w:rsidRPr="00D83134">
        <w:rPr>
          <w:szCs w:val="18"/>
          <w:lang w:val="es-MX"/>
        </w:rPr>
        <w:t xml:space="preserve">  Instituto  Nacional  de  los  Pueblos  Indígenas  y  el  Municipio  de  Aldama,  Estado</w:t>
      </w:r>
      <w:r w:rsidR="00D83134">
        <w:rPr>
          <w:szCs w:val="18"/>
          <w:lang w:val="es-MX"/>
        </w:rPr>
        <w:t xml:space="preserve"> </w:t>
      </w:r>
      <w:r w:rsidRPr="00D83134">
        <w:rPr>
          <w:szCs w:val="18"/>
          <w:lang w:val="es-MX"/>
        </w:rPr>
        <w:t xml:space="preserve">de Chiapas.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Convenio de Coordinación y Concertación de Acciones para la ejecución del Programa de Infraestructura Indígena, para la modernización y ampliación del camino E.C. (Aldama-Santa Martha)-</w:t>
      </w:r>
      <w:proofErr w:type="spellStart"/>
      <w:r w:rsidRPr="00D83134">
        <w:rPr>
          <w:szCs w:val="18"/>
          <w:lang w:val="es-MX"/>
        </w:rPr>
        <w:t>Xuxchén</w:t>
      </w:r>
      <w:proofErr w:type="spellEnd"/>
      <w:r w:rsidRPr="00D83134">
        <w:rPr>
          <w:szCs w:val="18"/>
          <w:lang w:val="es-MX"/>
        </w:rPr>
        <w:t xml:space="preserve">, tramo del km 0+000 al km 8+760, </w:t>
      </w:r>
      <w:proofErr w:type="spellStart"/>
      <w:r w:rsidRPr="00D83134">
        <w:rPr>
          <w:szCs w:val="18"/>
          <w:lang w:val="es-MX"/>
        </w:rPr>
        <w:t>subtramo</w:t>
      </w:r>
      <w:proofErr w:type="spellEnd"/>
      <w:r w:rsidRPr="00D83134">
        <w:rPr>
          <w:szCs w:val="18"/>
          <w:lang w:val="es-MX"/>
        </w:rPr>
        <w:t xml:space="preserve">: del km 0+000 al km 3+000, que </w:t>
      </w:r>
      <w:proofErr w:type="gramStart"/>
      <w:r w:rsidRPr="00D83134">
        <w:rPr>
          <w:szCs w:val="18"/>
          <w:lang w:val="es-MX"/>
        </w:rPr>
        <w:t>celebran  el</w:t>
      </w:r>
      <w:proofErr w:type="gramEnd"/>
      <w:r w:rsidRPr="00D83134">
        <w:rPr>
          <w:szCs w:val="18"/>
          <w:lang w:val="es-MX"/>
        </w:rPr>
        <w:t xml:space="preserve">  Instituto  Nacional  de  los  Pueblos  Indígenas  y  el  Municipio  de  Aldama,  Estado</w:t>
      </w:r>
      <w:r w:rsidR="00D83134">
        <w:rPr>
          <w:szCs w:val="18"/>
          <w:lang w:val="es-MX"/>
        </w:rPr>
        <w:t xml:space="preserve"> </w:t>
      </w:r>
      <w:r w:rsidRPr="00D83134">
        <w:rPr>
          <w:szCs w:val="18"/>
          <w:lang w:val="es-MX"/>
        </w:rPr>
        <w:t xml:space="preserve">de Chiapas.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PROCURADURIA DE LA DEFENSA DEL CONTRIBUYENTE</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 xml:space="preserve">Calendario   del   Presupuesto   de   Egresos   para   el   Ejercicio  </w:t>
      </w:r>
      <w:r w:rsidR="00D83134">
        <w:rPr>
          <w:szCs w:val="18"/>
          <w:lang w:val="es-MX"/>
        </w:rPr>
        <w:t xml:space="preserve"> Fiscal   2020   por   Programa </w:t>
      </w:r>
      <w:r w:rsidRPr="00D83134">
        <w:rPr>
          <w:szCs w:val="18"/>
          <w:lang w:val="es-MX"/>
        </w:rPr>
        <w:t xml:space="preserve">Presupuestario.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COMISION NACIONAL PARA LA MEJORA CONTINUA DE LA EDUCACION</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Calendario de presupuesto de egresos autorizado por programa presupuestario para el Ejercicio</w:t>
      </w:r>
      <w:r w:rsidR="00D83134">
        <w:rPr>
          <w:szCs w:val="18"/>
          <w:lang w:val="es-MX"/>
        </w:rPr>
        <w:t xml:space="preserve"> </w:t>
      </w:r>
      <w:r w:rsidRPr="00D83134">
        <w:rPr>
          <w:szCs w:val="18"/>
          <w:lang w:val="es-MX"/>
        </w:rPr>
        <w:t xml:space="preserve">Fiscal 2020.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PETROLEOS MEXICANOS</w:t>
      </w:r>
    </w:p>
    <w:p w:rsidR="00C63AC5" w:rsidRPr="00D83134" w:rsidRDefault="00C63AC5" w:rsidP="00D83134">
      <w:pPr>
        <w:pStyle w:val="sum"/>
        <w:spacing w:line="326" w:lineRule="exact"/>
        <w:ind w:right="620"/>
        <w:rPr>
          <w:szCs w:val="18"/>
          <w:lang w:val="es-MX"/>
        </w:rPr>
      </w:pPr>
    </w:p>
    <w:p w:rsidR="00C63AC5" w:rsidRDefault="00C63AC5" w:rsidP="00D83134">
      <w:pPr>
        <w:pStyle w:val="sum"/>
        <w:spacing w:line="326" w:lineRule="exact"/>
        <w:ind w:right="620"/>
        <w:rPr>
          <w:szCs w:val="18"/>
          <w:lang w:val="es-MX"/>
        </w:rPr>
      </w:pPr>
      <w:r w:rsidRPr="00D83134">
        <w:rPr>
          <w:szCs w:val="18"/>
          <w:lang w:val="es-MX"/>
        </w:rPr>
        <w:t xml:space="preserve">Calendario de presupuesto autorizado para el Ejercicio Fiscal 2020. </w:t>
      </w:r>
      <w:r w:rsidR="00192C98">
        <w:rPr>
          <w:szCs w:val="18"/>
          <w:lang w:val="es-MX"/>
        </w:rPr>
        <w:tab/>
      </w:r>
    </w:p>
    <w:p w:rsidR="00D83134" w:rsidRPr="00D83134" w:rsidRDefault="00D83134"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BANCO DE MEXICO</w:t>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Tipo de cambio para solventar obligaciones denominadas en mo</w:t>
      </w:r>
      <w:r w:rsidR="00D83134">
        <w:rPr>
          <w:szCs w:val="18"/>
          <w:lang w:val="es-MX"/>
        </w:rPr>
        <w:t xml:space="preserve">neda extranjera pagaderas en la </w:t>
      </w:r>
      <w:r w:rsidRPr="00D83134">
        <w:rPr>
          <w:szCs w:val="18"/>
          <w:lang w:val="es-MX"/>
        </w:rPr>
        <w:t xml:space="preserve">República Mexicana.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szCs w:val="18"/>
          <w:lang w:val="es-MX"/>
        </w:rPr>
      </w:pPr>
      <w:r w:rsidRPr="00D83134">
        <w:rPr>
          <w:szCs w:val="18"/>
          <w:lang w:val="es-MX"/>
        </w:rPr>
        <w:t xml:space="preserve">Tasas de interés interbancarias de equilibrio. </w:t>
      </w:r>
      <w:r w:rsidR="00192C98">
        <w:rPr>
          <w:szCs w:val="18"/>
          <w:lang w:val="es-MX"/>
        </w:rPr>
        <w:tab/>
      </w:r>
    </w:p>
    <w:p w:rsidR="00C63AC5" w:rsidRPr="00D83134" w:rsidRDefault="00C63AC5" w:rsidP="00D83134">
      <w:pPr>
        <w:pStyle w:val="sum"/>
        <w:spacing w:line="326" w:lineRule="exact"/>
        <w:ind w:right="620"/>
        <w:rPr>
          <w:szCs w:val="18"/>
          <w:lang w:val="es-MX"/>
        </w:rPr>
      </w:pPr>
    </w:p>
    <w:p w:rsidR="00C63AC5" w:rsidRPr="00D83134" w:rsidRDefault="00C63AC5" w:rsidP="00D83134">
      <w:pPr>
        <w:pStyle w:val="sum"/>
        <w:spacing w:line="326" w:lineRule="exact"/>
        <w:ind w:right="620"/>
        <w:rPr>
          <w:rFonts w:ascii="Times New Roman" w:hAnsi="Times New Roman" w:cs="Times New Roman"/>
          <w:b/>
          <w:sz w:val="20"/>
          <w:u w:val="single"/>
          <w:lang w:val="es-MX"/>
        </w:rPr>
      </w:pPr>
      <w:r w:rsidRPr="00D83134">
        <w:rPr>
          <w:rFonts w:ascii="Times New Roman" w:hAnsi="Times New Roman" w:cs="Times New Roman"/>
          <w:b/>
          <w:sz w:val="20"/>
          <w:u w:val="single"/>
          <w:lang w:val="es-MX"/>
        </w:rPr>
        <w:t>AVISOS</w:t>
      </w:r>
    </w:p>
    <w:p w:rsidR="00C63AC5" w:rsidRPr="00D83134" w:rsidRDefault="00C63AC5" w:rsidP="00D83134">
      <w:pPr>
        <w:pStyle w:val="sum"/>
        <w:spacing w:line="326" w:lineRule="exact"/>
        <w:ind w:right="620"/>
        <w:rPr>
          <w:szCs w:val="18"/>
          <w:lang w:val="es-MX"/>
        </w:rPr>
      </w:pPr>
    </w:p>
    <w:p w:rsidR="00546270" w:rsidRPr="00D83134" w:rsidRDefault="00C63AC5" w:rsidP="00D83134">
      <w:pPr>
        <w:pStyle w:val="sum"/>
        <w:spacing w:line="326" w:lineRule="exact"/>
        <w:ind w:right="620"/>
        <w:rPr>
          <w:szCs w:val="18"/>
          <w:lang w:val="es-MX"/>
        </w:rPr>
      </w:pPr>
      <w:r w:rsidRPr="00D83134">
        <w:rPr>
          <w:szCs w:val="18"/>
          <w:lang w:val="es-MX"/>
        </w:rPr>
        <w:t xml:space="preserve">Judiciales y generales. </w:t>
      </w:r>
      <w:r w:rsidR="00192C98">
        <w:rPr>
          <w:szCs w:val="18"/>
          <w:lang w:val="es-MX"/>
        </w:rPr>
        <w:tab/>
      </w:r>
      <w:bookmarkStart w:id="0" w:name="_GoBack"/>
      <w:bookmarkEnd w:id="0"/>
    </w:p>
    <w:sectPr w:rsidR="00546270" w:rsidRPr="00D8313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769" w:rsidRDefault="00207769" w:rsidP="00C63AC5">
      <w:pPr>
        <w:spacing w:after="0" w:line="240" w:lineRule="auto"/>
      </w:pPr>
      <w:r>
        <w:separator/>
      </w:r>
    </w:p>
  </w:endnote>
  <w:endnote w:type="continuationSeparator" w:id="0">
    <w:p w:rsidR="00207769" w:rsidRDefault="00207769" w:rsidP="00C6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769" w:rsidRDefault="00207769" w:rsidP="00C63AC5">
      <w:pPr>
        <w:spacing w:after="0" w:line="240" w:lineRule="auto"/>
      </w:pPr>
      <w:r>
        <w:separator/>
      </w:r>
    </w:p>
  </w:footnote>
  <w:footnote w:type="continuationSeparator" w:id="0">
    <w:p w:rsidR="00207769" w:rsidRDefault="00207769" w:rsidP="00C6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C5" w:rsidRPr="00C63AC5" w:rsidRDefault="00C63AC5" w:rsidP="00C63AC5">
    <w:pPr>
      <w:widowControl w:val="0"/>
      <w:autoSpaceDE w:val="0"/>
      <w:autoSpaceDN w:val="0"/>
      <w:adjustRightInd w:val="0"/>
      <w:spacing w:after="0" w:line="200" w:lineRule="exact"/>
      <w:rPr>
        <w:rFonts w:ascii="Times New Roman" w:hAnsi="Times New Roman"/>
        <w:sz w:val="20"/>
        <w:szCs w:val="20"/>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ge">
                <wp:posOffset>598805</wp:posOffset>
              </wp:positionV>
              <wp:extent cx="5297805" cy="28575"/>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943"/>
                        <a:chExt cx="8343" cy="45"/>
                      </a:xfrm>
                    </wpg:grpSpPr>
                    <wps:wsp>
                      <wps:cNvPr id="18" name="Freeform 14"/>
                      <wps:cNvSpPr>
                        <a:spLocks/>
                      </wps:cNvSpPr>
                      <wps:spPr bwMode="auto">
                        <a:xfrm>
                          <a:off x="1957" y="98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5"/>
                      <wps:cNvSpPr>
                        <a:spLocks/>
                      </wps:cNvSpPr>
                      <wps:spPr bwMode="auto">
                        <a:xfrm>
                          <a:off x="1957" y="951"/>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A206A0" id="Grupo 17" o:spid="_x0000_s1026" style="position:absolute;margin-left:97.4pt;margin-top:47.15pt;width:417.15pt;height:2.25pt;z-index:-251657216;mso-position-horizontal-relative:page;mso-position-vertical-relative:page" coordorigin="1948,943"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cyhQMAAEoMAAAOAAAAZHJzL2Uyb0RvYy54bWzsV21v2zYQ/j6g/4HgxwGOJEeObSFOUfgl&#10;GNBtBZr9AFqiXlCJ1Ejaclbsv+/uKDmKg6JDhxYYEH9QSN3xXp67e6jcvj01NTtKYyutVjy6CjmT&#10;KtVZpYoV/+NhN1lwZp1Qmai1kiv+KC1/e/fmp9uuTeRUl7rOpGFgRNmka1e8dK5NgsCmpWyEvdKt&#10;VCDMtWmEg60pgsyIDqw3dTANw5ug0yZrjU6ltfB244X8juznuUzd73lupWP1ikNsjp6Gnnt8Bne3&#10;IimMaMsq7cMQ3xBFIyoFTs+mNsIJdjDVC1NNlRptde6uUt0EOs+rVFIOkE0UXmRzb/ShpVyKpCva&#10;M0wA7QVO32w2/e34wbAqg9rNOVOigRrdm0OrGewBnK4tEtC5N+3H9oPxGcLyvU4/WRAHl3LcF16Z&#10;7btfdQb2xMFpAueUmwZNQNrsRDV4PNdAnhxL4eVsupwvwhlnKcimi9l85muUllBIPBUtY+gpEC7j&#10;60G07Q8vruEdnYzpWCAS75Pi7OPCpKDZ7BOe9r/h+bEUraQyWcRqwBOi9HjujJTYwSyKPaSkNuBp&#10;x2COJBikBcy/CmO0nEHpEJBF388DlovraQ8kCc5oiCQ9WHcvNVVDHN9b5+cggxXVOOtDf4CZyZsa&#10;RuLngIWsY2SyVx50opEOykdq4LIYjIpy8JOeVO8IVkwgVYTUIK22WGL0OnQGWAAlDOoLuuD9Utef&#10;6V0Y4IDL6TecwfTvffu0wmFk6AKXrFtxyhJfNPooHzSJ3EXLgpMnaa3GWh73UVReDCfQAUyNX5BT&#10;jHVUDKV3VV0TwLXCUKIwhrbBCKyuqwyltDHFfl0bdhRIbPTDbMDaMzUgEJWRtVKKbNuvnahqvwb9&#10;msCFlukxwOYh5vq8DJfbxXYRT+LpzXYSh5vN5N1uHU9udtF8trnerNeb6G8MLYqTssoyqTC6gUWj&#10;+N9NVc/nnv/OPPosCztOdke/l8kGz8MgLCCX4a8HexgqzwF7nT3CgBntrwW4xmBRavMXZx1cCStu&#10;/zwIIzmrf1HAEcsojvEOoU08m09hY8aS/VgiVAqmVtxx6HBcrp2/dw6tqYoSPEVUVqXfAT/mFY4g&#10;0JRNfFT9BmjqR/HV8iVfEYliTEBr34GvZpGfwFe+QnLr5++Vr175amBj4gP8CPh/8RV9bcEHK3Fv&#10;/3GNX8TjPfHb078Ad/8AAAD//wMAUEsDBBQABgAIAAAAIQCsmpTW4AAAAAoBAAAPAAAAZHJzL2Rv&#10;d25yZXYueG1sTI9BS8NAEIXvgv9hGcGb3aStksRsSinqqQhtBfE2zU6T0OxsyG6T9N+7PenxzXu8&#10;902+mkwrBupdY1lBPItAEJdWN1wp+Dq8PyUgnEfW2FomBVdysCru73LMtB15R8PeVyKUsMtQQe19&#10;l0npypoMupntiIN3sr1BH2RfSd3jGMpNK+dR9CINNhwWauxoU1N53l+Mgo8Rx/Uifhu259Pm+nN4&#10;/vzexqTU48O0fgXhafJ/YbjhB3QoAtPRXlg70QadLgO6V5AuFyBugWiexiCO4ZIkIItc/n+h+AUA&#10;AP//AwBQSwECLQAUAAYACAAAACEAtoM4kv4AAADhAQAAEwAAAAAAAAAAAAAAAAAAAAAAW0NvbnRl&#10;bnRfVHlwZXNdLnhtbFBLAQItABQABgAIAAAAIQA4/SH/1gAAAJQBAAALAAAAAAAAAAAAAAAAAC8B&#10;AABfcmVscy8ucmVsc1BLAQItABQABgAIAAAAIQAgHFcyhQMAAEoMAAAOAAAAAAAAAAAAAAAAAC4C&#10;AABkcnMvZTJvRG9jLnhtbFBLAQItABQABgAIAAAAIQCsmpTW4AAAAAoBAAAPAAAAAAAAAAAAAAAA&#10;AN8FAABkcnMvZG93bnJldi54bWxQSwUGAAAAAAQABADzAAAA7AYAAAAA&#10;" o:allowincell="f">
              <v:shape id="Freeform 14" o:spid="_x0000_s1027" style="position:absolute;left:1957;top:98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n6fxgAAANsAAAAPAAAAZHJzL2Rvd25yZXYueG1sRI/Na8JA&#10;EMXvgv/DMgVvuqm0fqSu0gpCexG/EHqbZqdJbHY2ZFdN+9d3DoK3Gd6b934zW7SuUhdqQunZwOMg&#10;AUWceVtybuCwX/UnoEJEtlh5JgO/FGAx73ZmmFp/5S1ddjFXEsIhRQNFjHWqdcgKchgGviYW7ds3&#10;DqOsTa5tg1cJd5UeJslIOyxZGgqsaVlQ9rM7OwOnryG2WfX0/PmxnL79rVf5kcYbY3oP7esLqEht&#10;vJtv1+9W8AVWfpEB9PwfAAD//wMAUEsBAi0AFAAGAAgAAAAhANvh9svuAAAAhQEAABMAAAAAAAAA&#10;AAAAAAAAAAAAAFtDb250ZW50X1R5cGVzXS54bWxQSwECLQAUAAYACAAAACEAWvQsW78AAAAVAQAA&#10;CwAAAAAAAAAAAAAAAAAfAQAAX3JlbHMvLnJlbHNQSwECLQAUAAYACAAAACEAffZ+n8YAAADbAAAA&#10;DwAAAAAAAAAAAAAAAAAHAgAAZHJzL2Rvd25yZXYueG1sUEsFBgAAAAADAAMAtwAAAPoCAAAAAA==&#10;" path="m,l8325,e" filled="f" strokeweight=".82pt">
                <v:path arrowok="t" o:connecttype="custom" o:connectlocs="0,0;8325,0" o:connectangles="0,0"/>
              </v:shape>
              <v:shape id="Freeform 15" o:spid="_x0000_s1028" style="position:absolute;left:1957;top:951;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sExAAAANsAAAAPAAAAZHJzL2Rvd25yZXYueG1sRE9Na8JA&#10;EL0X+h+WKXhrNhVrNboJKgjtRVoVwduYHZPU7GzIrpr213cFobd5vM+ZZp2pxYVaV1lW8BLFIIhz&#10;qysuFGw3y+cRCOeRNdaWScEPOcjSx4cpJtpe+Ysua1+IEMIuQQWl900ipctLMugi2xAH7mhbgz7A&#10;tpC6xWsIN7Xsx/FQGqw4NJTY0KKk/LQ+GwXfhz52eT143X8sxvPf1bLY0dunUr2nbjYB4anz/+K7&#10;+12H+WO4/RIOkOkfAAAA//8DAFBLAQItABQABgAIAAAAIQDb4fbL7gAAAIUBAAATAAAAAAAAAAAA&#10;AAAAAAAAAABbQ29udGVudF9UeXBlc10ueG1sUEsBAi0AFAAGAAgAAAAhAFr0LFu/AAAAFQEAAAsA&#10;AAAAAAAAAAAAAAAAHwEAAF9yZWxzLy5yZWxzUEsBAi0AFAAGAAgAAAAhABK62wTEAAAA2wAAAA8A&#10;AAAAAAAAAAAAAAAABwIAAGRycy9kb3ducmV2LnhtbFBLBQYAAAAAAwADALcAAAD4AgAAAAA=&#10;" path="m,l8325,e" filled="f" strokeweight=".82pt">
                <v:path arrowok="t" o:connecttype="custom" o:connectlocs="0,0;8325,0" o:connectangles="0,0"/>
              </v:shape>
              <w10:wrap anchorx="page" anchory="page"/>
            </v:group>
          </w:pict>
        </mc:Fallback>
      </mc:AlternateContent>
    </w:r>
    <w:r>
      <w:rPr>
        <w:noProof/>
        <w:lang w:eastAsia="es-MX"/>
      </w:rPr>
      <mc:AlternateContent>
        <mc:Choice Requires="wps">
          <w:drawing>
            <wp:anchor distT="0" distB="0" distL="114300" distR="114300" simplePos="0" relativeHeight="251660288" behindDoc="1" locked="0" layoutInCell="0" allowOverlap="1">
              <wp:simplePos x="0" y="0"/>
              <wp:positionH relativeFrom="page">
                <wp:posOffset>1249045</wp:posOffset>
              </wp:positionH>
              <wp:positionV relativeFrom="page">
                <wp:posOffset>454660</wp:posOffset>
              </wp:positionV>
              <wp:extent cx="196850" cy="1397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AC5" w:rsidRDefault="00C63AC5" w:rsidP="00C63AC5">
                          <w:pPr>
                            <w:widowControl w:val="0"/>
                            <w:autoSpaceDE w:val="0"/>
                            <w:autoSpaceDN w:val="0"/>
                            <w:adjustRightInd w:val="0"/>
                            <w:spacing w:after="0" w:line="204" w:lineRule="exact"/>
                            <w:ind w:left="20" w:right="-47"/>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98.35pt;margin-top:35.8pt;width:15.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tsgIAALEFAAAOAAAAZHJzL2Uyb0RvYy54bWysVNuOmzAQfa/Uf7D8zgJZwgJastqFUFXa&#10;XqRtP8DBJlgFm9pOyLbqv3dsQrKXl6otD9bgmTlzO57rm0PfoT1TmkuR4/AiwIiJWlIutjn++qXy&#10;Eoy0IYKSTgqW40em8c3q7ZvrccjYQrayo0whABE6G4cct8YMme/rumU90RdyYAKUjVQ9MfCrtj5V&#10;ZAT0vvMXQRD7o1R0ULJmWsNtOSnxyuE3DavNp6bRzKAux5Cbcady58ae/uqaZFtFhpbXxzTIX2TR&#10;Ey4g6AmqJIagneKvoHpeK6llYy5q2fuyaXjNXA1QTRi8qOahJQNztUBz9HBqk/5/sPXH/WeFOIXZ&#10;xRgJ0sOMih2hSiLKkGEHIxFooE3joDOwfhjA3hzu5AFcXMl6uJf1N42ELFoituxWKTm2jFBIM7Se&#10;/hPXCUdbkM34QVIIR3ZGOqBDo3rbQ+gKAnQY1+NpRJAIqm3INE6WoKlBFV6mV4EboU+y2XlQ2rxj&#10;skdWyLECBjhwsr/XxiZDstnExhKy4l3nWNCJZxdgON1AaHC1OpuEG+rPNEjXyTqJvGgRr70oKEvv&#10;tioiL67Cq2V5WRZFGf6yccMoazmlTNgwM8HC6M8GeKT6RI0TxbTsOLVwNiWttpuiU2hPgOCV+1zL&#10;QXM285+n4ZoAtbwoKVxEwd0i9ao4ufKiKlp60N7EC8L0Lo2DKI3K6nlJ91ywfy8JjTlOl4vlxKVz&#10;0i9qC9z3ujaS9dzACul4n+PkZEQyy8C1oG60hvBukp+0wqZ/bgWMex6046ul6ERWc9gcAMWSeCPp&#10;IzBXSWAWkBD2HgitVD8wGmGH5Fh/3xHFMOreC2C/XTizoGZhMwtE1OCaY4PRJBZmWky7QfFtC8jT&#10;+xLyFl5Iwx17z1kc3xXsBVfEcYfZxfP031mdN+3qNwAAAP//AwBQSwMEFAAGAAgAAAAhAE8drnDe&#10;AAAACQEAAA8AAABkcnMvZG93bnJldi54bWxMj8FOwzAMhu9IvENkJG4sXZFSWppOE4ITElpXDhzT&#10;JmujNU5psq28/cwJjr/96ffncrO4kZ3NHKxHCetVAsxg57XFXsJn8/bwBCxEhVqNHo2EHxNgU93e&#10;lKrQ/oK1Oe9jz6gEQ6EkDDFOBeehG4xTYeUng7Q7+NmpSHHuuZ7VhcrdyNMkEdwpi3RhUJN5GUx3&#10;3J+chO0X1q/2+6Pd1YfaNk2e4Ls4Snl/t2yfgUWzxD8YfvVJHSpyav0JdWAj5VxkhErI1gIYAWma&#10;0aCVkD8K4FXJ/39QXQEAAP//AwBQSwECLQAUAAYACAAAACEAtoM4kv4AAADhAQAAEwAAAAAAAAAA&#10;AAAAAAAAAAAAW0NvbnRlbnRfVHlwZXNdLnhtbFBLAQItABQABgAIAAAAIQA4/SH/1gAAAJQBAAAL&#10;AAAAAAAAAAAAAAAAAC8BAABfcmVscy8ucmVsc1BLAQItABQABgAIAAAAIQA7vT+tsgIAALEFAAAO&#10;AAAAAAAAAAAAAAAAAC4CAABkcnMvZTJvRG9jLnhtbFBLAQItABQABgAIAAAAIQBPHa5w3gAAAAkB&#10;AAAPAAAAAAAAAAAAAAAAAAwFAABkcnMvZG93bnJldi54bWxQSwUGAAAAAAQABADzAAAAFwYAAAAA&#10;" o:allowincell="f" filled="f" stroked="f">
              <v:textbox inset="0,0,0,0">
                <w:txbxContent>
                  <w:p w:rsidR="00C63AC5" w:rsidRDefault="00C63AC5" w:rsidP="00C63AC5">
                    <w:pPr>
                      <w:widowControl w:val="0"/>
                      <w:autoSpaceDE w:val="0"/>
                      <w:autoSpaceDN w:val="0"/>
                      <w:adjustRightInd w:val="0"/>
                      <w:spacing w:after="0" w:line="204" w:lineRule="exact"/>
                      <w:ind w:left="20" w:right="-47"/>
                      <w:rPr>
                        <w:rFonts w:ascii="Times New Roman" w:hAnsi="Times New Roman"/>
                        <w:sz w:val="18"/>
                        <w:szCs w:val="18"/>
                      </w:rPr>
                    </w:pPr>
                  </w:p>
                </w:txbxContent>
              </v:textbox>
              <w10:wrap anchorx="page" anchory="page"/>
            </v:shape>
          </w:pict>
        </mc:Fallback>
      </mc:AlternateContent>
    </w:r>
    <w:r>
      <w:rPr>
        <w:noProof/>
        <w:lang w:eastAsia="es-MX"/>
      </w:rPr>
      <mc:AlternateContent>
        <mc:Choice Requires="wps">
          <w:drawing>
            <wp:anchor distT="0" distB="0" distL="114300" distR="114300" simplePos="0" relativeHeight="251661312" behindDoc="1" locked="0" layoutInCell="0" allowOverlap="1">
              <wp:simplePos x="0" y="0"/>
              <wp:positionH relativeFrom="page">
                <wp:posOffset>3461385</wp:posOffset>
              </wp:positionH>
              <wp:positionV relativeFrom="page">
                <wp:posOffset>454660</wp:posOffset>
              </wp:positionV>
              <wp:extent cx="906145" cy="13970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AC5" w:rsidRDefault="00C63AC5" w:rsidP="00C63AC5">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z w:val="18"/>
                              <w:szCs w:val="18"/>
                            </w:rPr>
                            <w: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5" o:spid="_x0000_s1027" type="#_x0000_t202" style="position:absolute;margin-left:272.55pt;margin-top:35.8pt;width:71.3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1TtwIAALgFAAAOAAAAZHJzL2Uyb0RvYy54bWysVG1vmzAQ/j5p/8HydwqkJA0opGohTJO6&#10;F6nbD3CwCdbAZrYT6Kb9951NSNr0y7SND9Zhnx8/d/fcrW6HtkEHpjSXIsXhVYARE6WkXOxS/PVL&#10;4S0x0oYIShopWIqfmMa367dvVn2XsJmsZUOZQgAidNJ3Ka6N6RLf12XNWqKvZMcEHFZStcTAr9r5&#10;VJEe0NvGnwXBwu+lop2SJdMadvPxEK8dflWx0nyqKs0MalIM3IxblVu3dvXXK5LsFOlqXh5pkL9g&#10;0RIu4NETVE4MQXvFX0G1vFRSy8pclbL1ZVXxkrkYIJowuIjmsSYdc7FAcnR3SpP+f7Dlx8NnhTiF&#10;2s0xEqSFGmV7QpVElCHDBiMRnECa+k4n4P3Ygb8Z7uUAV1zIunuQ5TeNhMxqInbsTinZ14xQoBna&#10;m/6zqyOOtiDb/oOk8BzZG+mAhkq1NoeQFQToUK6nU4mACCphMw4WYQRMSzgKr+ObwJXQJ8l0uVPa&#10;vGOyRdZIsQIFOHByeNDGkiHJ5GLfErLgTeNU0IgXG+A47sDTcNWeWRKuqD/jIN4sN8vIi2aLjRcF&#10;ee7dFVnkLYrwZp5f51mWh7/su2GU1JxSJuwzk8DC6M8KeJT6KI2TxLRsOLVwlpJWu23WKHQgIPDC&#10;fS7lcHJ281/ScEmAWC5CCmdRcD+LvWKxvPGiIpp7kN6lF4TxfbwIojjKi5chPXDB/j0k1ENV57P5&#10;qKUz6YvYAve9jo0kLTcwQhrepnh5ciKJVeBGUFdaQ3gz2s9SYemfUwHlngrt9GolOorVDNth7JCp&#10;DbaSPoGAlQSBgUph/IFRS/UDox5GSYr19z1RDKPmvYAmsHNnMtRkbCeDiBKupthgNJqZGefTvlN8&#10;VwPy2GZC3kGjVNyJ2HbUyOLYXjAeXCzHUWbnz/N/53UeuOvfAAAA//8DAFBLAwQUAAYACAAAACEA&#10;AZE3V+AAAAAJAQAADwAAAGRycy9kb3ducmV2LnhtbEyPwU7DMBBE70j8g7WVuFEnQN02zaaqEJyQ&#10;EGk4cHRiN7Ear0PstuHvMadyXO3TzJt8O9menfXojSOEdJ4A09Q4ZahF+Kxe71fAfJCkZO9II/xo&#10;D9vi9iaXmXIXKvV5H1oWQ8hnEqELYcg4902nrfRzN2iKv4MbrQzxHFuuRnmJ4bbnD0kiuJWGYkMn&#10;B/3c6ea4P1mE3ReVL+b7vf4oD6WpqnVCb+KIeDebdhtgQU/hCsOfflSHIjrV7kTKsx5h8bRII4qw&#10;TAWwCIjVMm6pEdaPAniR8/8Lil8AAAD//wMAUEsBAi0AFAAGAAgAAAAhALaDOJL+AAAA4QEAABMA&#10;AAAAAAAAAAAAAAAAAAAAAFtDb250ZW50X1R5cGVzXS54bWxQSwECLQAUAAYACAAAACEAOP0h/9YA&#10;AACUAQAACwAAAAAAAAAAAAAAAAAvAQAAX3JlbHMvLnJlbHNQSwECLQAUAAYACAAAACEAmh8NU7cC&#10;AAC4BQAADgAAAAAAAAAAAAAAAAAuAgAAZHJzL2Uyb0RvYy54bWxQSwECLQAUAAYACAAAACEAAZE3&#10;V+AAAAAJAQAADwAAAAAAAAAAAAAAAAARBQAAZHJzL2Rvd25yZXYueG1sUEsFBgAAAAAEAAQA8wAA&#10;AB4GAAAAAA==&#10;" o:allowincell="f" filled="f" stroked="f">
              <v:textbox inset="0,0,0,0">
                <w:txbxContent>
                  <w:p w:rsidR="00C63AC5" w:rsidRDefault="00C63AC5" w:rsidP="00C63AC5">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DIARIO</w:t>
                    </w:r>
                    <w:r>
                      <w:rPr>
                        <w:rFonts w:ascii="Times New Roman" w:hAnsi="Times New Roman"/>
                        <w:spacing w:val="1"/>
                        <w:sz w:val="18"/>
                        <w:szCs w:val="18"/>
                      </w:rPr>
                      <w:t xml:space="preserve"> </w:t>
                    </w:r>
                    <w:r>
                      <w:rPr>
                        <w:rFonts w:ascii="Times New Roman" w:hAnsi="Times New Roman"/>
                        <w:sz w:val="18"/>
                        <w:szCs w:val="18"/>
                      </w:rPr>
                      <w:t>OFIC</w:t>
                    </w:r>
                    <w:r>
                      <w:rPr>
                        <w:rFonts w:ascii="Times New Roman" w:hAnsi="Times New Roman"/>
                        <w:spacing w:val="1"/>
                        <w:sz w:val="18"/>
                        <w:szCs w:val="18"/>
                      </w:rPr>
                      <w:t>I</w:t>
                    </w:r>
                    <w:r>
                      <w:rPr>
                        <w:rFonts w:ascii="Times New Roman" w:hAnsi="Times New Roman"/>
                        <w:sz w:val="18"/>
                        <w:szCs w:val="18"/>
                      </w:rPr>
                      <w:t>AL</w:t>
                    </w:r>
                  </w:p>
                </w:txbxContent>
              </v:textbox>
              <w10:wrap anchorx="page" anchory="page"/>
            </v:shape>
          </w:pict>
        </mc:Fallback>
      </mc:AlternateContent>
    </w:r>
    <w:r>
      <w:rPr>
        <w:noProof/>
        <w:lang w:eastAsia="es-MX"/>
      </w:rPr>
      <mc:AlternateContent>
        <mc:Choice Requires="wps">
          <w:drawing>
            <wp:anchor distT="0" distB="0" distL="114300" distR="114300" simplePos="0" relativeHeight="251662336" behindDoc="1" locked="0" layoutInCell="0" allowOverlap="1">
              <wp:simplePos x="0" y="0"/>
              <wp:positionH relativeFrom="page">
                <wp:posOffset>5339080</wp:posOffset>
              </wp:positionH>
              <wp:positionV relativeFrom="page">
                <wp:posOffset>454660</wp:posOffset>
              </wp:positionV>
              <wp:extent cx="1203325" cy="13970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AC5" w:rsidRDefault="00C63AC5" w:rsidP="00C63AC5">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Lunes</w:t>
                          </w:r>
                          <w:r>
                            <w:rPr>
                              <w:rFonts w:ascii="Times New Roman" w:hAnsi="Times New Roman"/>
                              <w:spacing w:val="1"/>
                              <w:sz w:val="18"/>
                              <w:szCs w:val="18"/>
                            </w:rPr>
                            <w:t xml:space="preserve"> </w:t>
                          </w:r>
                          <w:r>
                            <w:rPr>
                              <w:rFonts w:ascii="Times New Roman" w:hAnsi="Times New Roman"/>
                              <w:sz w:val="18"/>
                              <w:szCs w:val="18"/>
                            </w:rPr>
                            <w:t>6</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 ene</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margin-left:420.4pt;margin-top:35.8pt;width:94.7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CMuQIAALkFAAAOAAAAZHJzL2Uyb0RvYy54bWysVNuOmzAQfa/Uf7D8znIJyQa0ZLULoaq0&#10;vUjbfoCDTbAKNrWdkG3Vf+/YhGSz+1K15QENeHxmzsyZubk9dC3aM6W5FBkOrwKMmKgk5WKb4a9f&#10;Sm+JkTZEUNJKwTL8xDS+Xb19czP0KYtkI1vKFAIQodOhz3BjTJ/6vq4a1hF9JXsm4LCWqiMGPtXW&#10;p4oMgN61fhQEC3+QivZKVkxr+FuMh3jl8OuaVeZTXWtmUJthyM24t3LvjX37qxuSbhXpG14d0yB/&#10;kUVHuICgJ6iCGIJ2ir+C6nilpJa1uapk58u65hVzHIBNGLxg89iQnjkuUBzdn8qk/x9s9XH/WSFO&#10;oXcxRoJ00KN8R6iSiDJk2MFIBCdQpqHXKXg/9uBvDvfyAFccZd0/yOqbRkLmDRFbdqeUHBpGKKQZ&#10;2pv+s6sjjrYgm+GDpBCO7Ix0QIdadbaGUBUE6NCup1OLIBFU2ZBRMJtFc4wqOAtnyXXgeuiTdLrd&#10;K23eMdkha2RYgQQcOtk/aGOzIenkYoMJWfK2dTJoxcUPcBz/QGy4as9sFq6rP5MgWS/Xy9iLo8Xa&#10;i4Oi8O7KPPYWZXg9L2ZFnhfhLxs3jNOGU8qEDTMpLIz/rINHrY/aOGlMy5ZTC2dT0mq7yVuF9gQU&#10;XrrH1RxOzm7+ZRquCMDlBaUwioP7KPHKxfLai8t47kF5l14QJvfJIoiTuCgvKT1wwf6dEhoynMyh&#10;p47OOekX3AL3vOZG0o4b2CEt7zK8PDmR1EpwLahrrSG8He1npbDpn0sB7Z4a7QRrNTqq1Rw2Bzci&#10;0TQHG0mfQMFKgsBAprD/wGik+oHRALskw/r7jiiGUftewBTYxTMZajI2k0FEBVczbDAazdyMC2rX&#10;K75tAHmcMyHvYFJq7kRsR2rM4jhfsB8cl+Muswvo+bfzOm/c1W8AAAD//wMAUEsDBBQABgAIAAAA&#10;IQCuyeyh3wAAAAoBAAAPAAAAZHJzL2Rvd25yZXYueG1sTI/BTsMwEETvSPyDtUjcqF2CQhuyqSoE&#10;JyREGg4cnWSbWI3XIXbb8Pe4JziOZjTzJt/MdhAnmrxxjLBcKBDEjWsNdwif1evdCoQPmls9OCaE&#10;H/KwKa6vcp217swlnXahE7GEfaYR+hDGTErf9GS1X7iROHp7N1kdopw62U76HMvtIO+VSqXVhuNC&#10;r0d67qk57I4WYfvF5Yv5fq8/yn1pqmqt+C09IN7ezNsnEIHm8BeGC35EhyIy1e7IrRcDwupBRfSA&#10;8LhMQVwCKlEJiBphnaQgi1z+v1D8AgAA//8DAFBLAQItABQABgAIAAAAIQC2gziS/gAAAOEBAAAT&#10;AAAAAAAAAAAAAAAAAAAAAABbQ29udGVudF9UeXBlc10ueG1sUEsBAi0AFAAGAAgAAAAhADj9If/W&#10;AAAAlAEAAAsAAAAAAAAAAAAAAAAALwEAAF9yZWxzLy5yZWxzUEsBAi0AFAAGAAgAAAAhAKF8EIy5&#10;AgAAuQUAAA4AAAAAAAAAAAAAAAAALgIAAGRycy9lMm9Eb2MueG1sUEsBAi0AFAAGAAgAAAAhAK7J&#10;7KHfAAAACgEAAA8AAAAAAAAAAAAAAAAAEwUAAGRycy9kb3ducmV2LnhtbFBLBQYAAAAABAAEAPMA&#10;AAAfBgAAAAA=&#10;" o:allowincell="f" filled="f" stroked="f">
              <v:textbox inset="0,0,0,0">
                <w:txbxContent>
                  <w:p w:rsidR="00C63AC5" w:rsidRDefault="00C63AC5" w:rsidP="00C63AC5">
                    <w:pPr>
                      <w:widowControl w:val="0"/>
                      <w:autoSpaceDE w:val="0"/>
                      <w:autoSpaceDN w:val="0"/>
                      <w:adjustRightInd w:val="0"/>
                      <w:spacing w:after="0" w:line="204" w:lineRule="exact"/>
                      <w:ind w:left="20" w:right="-47"/>
                      <w:rPr>
                        <w:rFonts w:ascii="Times New Roman" w:hAnsi="Times New Roman"/>
                        <w:sz w:val="18"/>
                        <w:szCs w:val="18"/>
                      </w:rPr>
                    </w:pPr>
                    <w:r>
                      <w:rPr>
                        <w:rFonts w:ascii="Times New Roman" w:hAnsi="Times New Roman"/>
                        <w:sz w:val="18"/>
                        <w:szCs w:val="18"/>
                      </w:rPr>
                      <w:t>Lunes</w:t>
                    </w:r>
                    <w:r>
                      <w:rPr>
                        <w:rFonts w:ascii="Times New Roman" w:hAnsi="Times New Roman"/>
                        <w:spacing w:val="1"/>
                        <w:sz w:val="18"/>
                        <w:szCs w:val="18"/>
                      </w:rPr>
                      <w:t xml:space="preserve"> </w:t>
                    </w:r>
                    <w:r>
                      <w:rPr>
                        <w:rFonts w:ascii="Times New Roman" w:hAnsi="Times New Roman"/>
                        <w:sz w:val="18"/>
                        <w:szCs w:val="18"/>
                      </w:rPr>
                      <w:t>6</w:t>
                    </w:r>
                    <w:r>
                      <w:rPr>
                        <w:rFonts w:ascii="Times New Roman" w:hAnsi="Times New Roman"/>
                        <w:spacing w:val="1"/>
                        <w:sz w:val="18"/>
                        <w:szCs w:val="18"/>
                      </w:rPr>
                      <w:t xml:space="preserve"> </w:t>
                    </w:r>
                    <w:r>
                      <w:rPr>
                        <w:rFonts w:ascii="Times New Roman" w:hAnsi="Times New Roman"/>
                        <w:spacing w:val="-1"/>
                        <w:sz w:val="18"/>
                        <w:szCs w:val="18"/>
                      </w:rPr>
                      <w:t>d</w:t>
                    </w:r>
                    <w:r>
                      <w:rPr>
                        <w:rFonts w:ascii="Times New Roman" w:hAnsi="Times New Roman"/>
                        <w:sz w:val="18"/>
                        <w:szCs w:val="18"/>
                      </w:rPr>
                      <w:t>e ene</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 xml:space="preserve"> </w:t>
                    </w:r>
                    <w:r>
                      <w:rPr>
                        <w:rFonts w:ascii="Times New Roman" w:hAnsi="Times New Roman"/>
                        <w:sz w:val="18"/>
                        <w:szCs w:val="18"/>
                      </w:rPr>
                      <w:t>de</w:t>
                    </w:r>
                    <w:r>
                      <w:rPr>
                        <w:rFonts w:ascii="Times New Roman" w:hAnsi="Times New Roman"/>
                        <w:spacing w:val="1"/>
                        <w:sz w:val="18"/>
                        <w:szCs w:val="18"/>
                      </w:rPr>
                      <w:t xml:space="preserve"> </w:t>
                    </w:r>
                    <w:r>
                      <w:rPr>
                        <w:rFonts w:ascii="Times New Roman" w:hAnsi="Times New Roman"/>
                        <w:sz w:val="18"/>
                        <w:szCs w:val="18"/>
                      </w:rPr>
                      <w:t>2020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C5"/>
    <w:rsid w:val="00192C98"/>
    <w:rsid w:val="00207769"/>
    <w:rsid w:val="00546270"/>
    <w:rsid w:val="00C63AC5"/>
    <w:rsid w:val="00D831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E127D"/>
  <w15:chartTrackingRefBased/>
  <w15:docId w15:val="{FD9DE49D-40D6-4AC2-868B-5DB2B5F9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3A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3AC5"/>
  </w:style>
  <w:style w:type="paragraph" w:styleId="Piedepgina">
    <w:name w:val="footer"/>
    <w:basedOn w:val="Normal"/>
    <w:link w:val="PiedepginaCar"/>
    <w:uiPriority w:val="99"/>
    <w:unhideWhenUsed/>
    <w:rsid w:val="00C63A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3AC5"/>
  </w:style>
  <w:style w:type="paragraph" w:customStyle="1" w:styleId="sum">
    <w:name w:val="sum"/>
    <w:basedOn w:val="Normal"/>
    <w:link w:val="sumCar"/>
    <w:rsid w:val="00D83134"/>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D83134"/>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192C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2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915</Words>
  <Characters>5037</Characters>
  <Application>Microsoft Office Word</Application>
  <DocSecurity>0</DocSecurity>
  <Lines>41</Lines>
  <Paragraphs>11</Paragraphs>
  <ScaleCrop>false</ScaleCrop>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2020-01-22T19:06:00Z</cp:lastPrinted>
  <dcterms:created xsi:type="dcterms:W3CDTF">2020-01-22T18:48:00Z</dcterms:created>
  <dcterms:modified xsi:type="dcterms:W3CDTF">2020-01-22T19:06:00Z</dcterms:modified>
</cp:coreProperties>
</file>