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A3" w:rsidRPr="00DF34BA" w:rsidRDefault="007F6DA3" w:rsidP="00DF34B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DF34B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DF34BA" w:rsidRPr="00DF34BA" w:rsidRDefault="00DF34BA" w:rsidP="00DF34B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DF34B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7F6DA3" w:rsidRPr="00DF34BA" w:rsidRDefault="007F6DA3" w:rsidP="00DF34B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DF34B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7F6DA3" w:rsidRDefault="007F6DA3" w:rsidP="00DF34BA">
      <w:pPr>
        <w:pStyle w:val="sum"/>
        <w:spacing w:line="326" w:lineRule="exact"/>
        <w:ind w:right="620"/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Acuerdos del Consejo Nacional de Seguridad Pública, aprobados en su Cuadragésima Quinta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Sesión Ordinaria, celebrada el 18 de diciembre de 2019.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DF34BA">
        <w:rPr>
          <w:szCs w:val="18"/>
          <w:lang w:val="es-MX"/>
        </w:rPr>
        <w:t>las  cuotas</w:t>
      </w:r>
      <w:proofErr w:type="gramEnd"/>
      <w:r w:rsidRPr="00DF34BA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DF34BA">
        <w:rPr>
          <w:szCs w:val="18"/>
          <w:lang w:val="es-MX"/>
        </w:rPr>
        <w:t>enajenación  de</w:t>
      </w:r>
      <w:proofErr w:type="gramEnd"/>
      <w:r w:rsidRPr="00DF34BA">
        <w:rPr>
          <w:szCs w:val="18"/>
          <w:lang w:val="es-MX"/>
        </w:rPr>
        <w:t xml:space="preserve">  gasolinas  en  la  región  fronteriza  con  los  Estados  Unidos  de  América, correspondientes al periodo que se especifica.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para el ejercicio fiscal 2020.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Circular 101-03-2019-11005 por la que se comunica a las dependencias, Fiscalía General de la República y entidades de la Administración Pública Federal, así como a las empresas productivas del </w:t>
      </w:r>
      <w:proofErr w:type="gramStart"/>
      <w:r w:rsidRPr="00DF34BA">
        <w:rPr>
          <w:szCs w:val="18"/>
          <w:lang w:val="es-MX"/>
        </w:rPr>
        <w:t>Estado  y</w:t>
      </w:r>
      <w:proofErr w:type="gramEnd"/>
      <w:r w:rsidRPr="00DF34BA">
        <w:rPr>
          <w:szCs w:val="18"/>
          <w:lang w:val="es-MX"/>
        </w:rPr>
        <w:t xml:space="preserve">  a las  entidades federativas  y municipios, que  deberán  abstenerse  de aceptar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propuestas o celebrar contratos con el ciudadano </w:t>
      </w:r>
      <w:proofErr w:type="spellStart"/>
      <w:r w:rsidRPr="00DF34BA">
        <w:rPr>
          <w:szCs w:val="18"/>
          <w:lang w:val="es-MX"/>
        </w:rPr>
        <w:t>Irám</w:t>
      </w:r>
      <w:proofErr w:type="spellEnd"/>
      <w:r w:rsidRPr="00DF34BA">
        <w:rPr>
          <w:szCs w:val="18"/>
          <w:lang w:val="es-MX"/>
        </w:rPr>
        <w:t xml:space="preserve"> </w:t>
      </w:r>
      <w:proofErr w:type="spellStart"/>
      <w:r w:rsidRPr="00DF34BA">
        <w:rPr>
          <w:szCs w:val="18"/>
          <w:lang w:val="es-MX"/>
        </w:rPr>
        <w:t>Liévanos</w:t>
      </w:r>
      <w:proofErr w:type="spellEnd"/>
      <w:r w:rsidRPr="00DF34BA">
        <w:rPr>
          <w:szCs w:val="18"/>
          <w:lang w:val="es-MX"/>
        </w:rPr>
        <w:t xml:space="preserve"> Velázquez.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Circular 101-03-2019-11013 por la que se comunica a las dependencias, Fiscalía General de la República y entidades de la Administración Pública Federal, así como a las empresas productivas del </w:t>
      </w:r>
      <w:proofErr w:type="gramStart"/>
      <w:r w:rsidRPr="00DF34BA">
        <w:rPr>
          <w:szCs w:val="18"/>
          <w:lang w:val="es-MX"/>
        </w:rPr>
        <w:t>Estado  y</w:t>
      </w:r>
      <w:proofErr w:type="gramEnd"/>
      <w:r w:rsidRPr="00DF34BA">
        <w:rPr>
          <w:szCs w:val="18"/>
          <w:lang w:val="es-MX"/>
        </w:rPr>
        <w:t xml:space="preserve">  a las  entidades federativas  y municipios, que  deberán  abstenerse  de aceptar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propuestas o celebrar contratos con el C. </w:t>
      </w:r>
      <w:proofErr w:type="spellStart"/>
      <w:r w:rsidRPr="00DF34BA">
        <w:rPr>
          <w:szCs w:val="18"/>
          <w:lang w:val="es-MX"/>
        </w:rPr>
        <w:t>Iram</w:t>
      </w:r>
      <w:proofErr w:type="spellEnd"/>
      <w:r w:rsidRPr="00DF34BA">
        <w:rPr>
          <w:szCs w:val="18"/>
          <w:lang w:val="es-MX"/>
        </w:rPr>
        <w:t xml:space="preserve"> </w:t>
      </w:r>
      <w:proofErr w:type="spellStart"/>
      <w:r w:rsidRPr="00DF34BA">
        <w:rPr>
          <w:szCs w:val="18"/>
          <w:lang w:val="es-MX"/>
        </w:rPr>
        <w:t>Liévanos</w:t>
      </w:r>
      <w:proofErr w:type="spellEnd"/>
      <w:r w:rsidRPr="00DF34BA">
        <w:rPr>
          <w:szCs w:val="18"/>
          <w:lang w:val="es-MX"/>
        </w:rPr>
        <w:t xml:space="preserve"> Velázquez.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 w:rsidRPr="00DF34BA">
        <w:rPr>
          <w:szCs w:val="18"/>
          <w:lang w:val="es-MX"/>
        </w:rPr>
        <w:t>Medicamentos  Gratuitos</w:t>
      </w:r>
      <w:proofErr w:type="gramEnd"/>
      <w:r w:rsidRPr="00DF34BA">
        <w:rPr>
          <w:szCs w:val="18"/>
          <w:lang w:val="es-MX"/>
        </w:rPr>
        <w:t xml:space="preserve">  para  la  Población  sin  Seguridad  Social  Laboral,  que  celebran  la Secretaría de Salud y el Estado de Yucatán.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Convenio Modificatorio al Convenio Específico de Colaboración en materia de transferencia de recursos presupuestarios federales con el carácter de subsidios para el Programa Regulación y Vigilancia de Establecimientos y Servicios de Atención Médica G005, que celebran la Secretaría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de Salud y el Estado de Chiapas.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Santa Catarina </w:t>
      </w:r>
      <w:proofErr w:type="spellStart"/>
      <w:r w:rsidRPr="00DF34BA">
        <w:rPr>
          <w:szCs w:val="18"/>
          <w:lang w:val="es-MX"/>
        </w:rPr>
        <w:t>Ticuá</w:t>
      </w:r>
      <w:proofErr w:type="spellEnd"/>
      <w:r w:rsidRPr="00DF34BA">
        <w:rPr>
          <w:szCs w:val="18"/>
          <w:lang w:val="es-MX"/>
        </w:rPr>
        <w:t xml:space="preserve">, Estado de Oaxaca.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Cristóbal </w:t>
      </w:r>
      <w:proofErr w:type="spellStart"/>
      <w:r w:rsidRPr="00DF34BA">
        <w:rPr>
          <w:szCs w:val="18"/>
          <w:lang w:val="es-MX"/>
        </w:rPr>
        <w:t>Amoltepec</w:t>
      </w:r>
      <w:proofErr w:type="spellEnd"/>
      <w:r w:rsidRPr="00DF34BA">
        <w:rPr>
          <w:szCs w:val="18"/>
          <w:lang w:val="es-MX"/>
        </w:rPr>
        <w:t xml:space="preserve">, Estado de Oaxaca.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Santo Domingo </w:t>
      </w:r>
      <w:proofErr w:type="spellStart"/>
      <w:r w:rsidRPr="00DF34BA">
        <w:rPr>
          <w:szCs w:val="18"/>
          <w:lang w:val="es-MX"/>
        </w:rPr>
        <w:t>Roayaga</w:t>
      </w:r>
      <w:proofErr w:type="spellEnd"/>
      <w:r w:rsidRPr="00DF34BA">
        <w:rPr>
          <w:szCs w:val="18"/>
          <w:lang w:val="es-MX"/>
        </w:rPr>
        <w:t xml:space="preserve">, Estado de Oaxaca.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Francisco </w:t>
      </w:r>
      <w:proofErr w:type="spellStart"/>
      <w:r w:rsidRPr="00DF34BA">
        <w:rPr>
          <w:szCs w:val="18"/>
          <w:lang w:val="es-MX"/>
        </w:rPr>
        <w:t>Ozolotepec</w:t>
      </w:r>
      <w:proofErr w:type="spellEnd"/>
      <w:r w:rsidRPr="00DF34BA">
        <w:rPr>
          <w:szCs w:val="18"/>
          <w:lang w:val="es-MX"/>
        </w:rPr>
        <w:t xml:space="preserve">, Estado de Oaxaca.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Jerónimo </w:t>
      </w:r>
      <w:proofErr w:type="spellStart"/>
      <w:r w:rsidRPr="00DF34BA">
        <w:rPr>
          <w:szCs w:val="18"/>
          <w:lang w:val="es-MX"/>
        </w:rPr>
        <w:t>Tlacochahuaya</w:t>
      </w:r>
      <w:proofErr w:type="spellEnd"/>
      <w:r w:rsidRPr="00DF34BA">
        <w:rPr>
          <w:szCs w:val="18"/>
          <w:lang w:val="es-MX"/>
        </w:rPr>
        <w:t xml:space="preserve">, Estado de Oaxaca.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Convenio  de</w:t>
      </w:r>
      <w:proofErr w:type="gramEnd"/>
      <w:r w:rsidRPr="00DF34BA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San Juan Bautista Valle Nacional, Estado de Oaxaca. </w:t>
      </w:r>
    </w:p>
    <w:p w:rsidR="007F6DA3" w:rsidRDefault="007F6DA3" w:rsidP="00DF34BA">
      <w:pPr>
        <w:pStyle w:val="sum"/>
        <w:spacing w:line="326" w:lineRule="exact"/>
        <w:ind w:right="620"/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INSTITUTO MEXICANO DEL SEGURO SOCIAL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lastRenderedPageBreak/>
        <w:t>Acuerdo   mediante   el   cual   se   establecen   las   Reglas   de   Operación   del   Programa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IMSS-BIENESTAR para el ejercicio fiscal 2020.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DF34BA">
        <w:rPr>
          <w:szCs w:val="18"/>
          <w:lang w:val="es-MX"/>
        </w:rPr>
        <w:t>Aviso  mediante</w:t>
      </w:r>
      <w:proofErr w:type="gramEnd"/>
      <w:r w:rsidRPr="00DF34BA">
        <w:rPr>
          <w:szCs w:val="18"/>
          <w:lang w:val="es-MX"/>
        </w:rPr>
        <w:t xml:space="preserve">  el  cual  se  designa  al  Dr.  </w:t>
      </w:r>
      <w:proofErr w:type="gramStart"/>
      <w:r w:rsidRPr="00DF34BA">
        <w:rPr>
          <w:szCs w:val="18"/>
          <w:lang w:val="es-MX"/>
        </w:rPr>
        <w:t>Eusebio  Rosales</w:t>
      </w:r>
      <w:proofErr w:type="gramEnd"/>
      <w:r w:rsidRPr="00DF34BA">
        <w:rPr>
          <w:szCs w:val="18"/>
          <w:lang w:val="es-MX"/>
        </w:rPr>
        <w:t xml:space="preserve">  Partida,  Titular  de  la  Jefatura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>Delegacional de Servicios de Prestaciones Médicas, como la persona que suplirá las ausencias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del Lic. Guillermo Alejandro Noriega Esparza, Delegado Estatal en Sonora.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Aviso mediante el cual se designa al Dr. Sergio Rafael Claire Guzmán, Titular de la Dirección Médica, como la persona que suplirá las ausencias del Dr. Guillermo Saturno </w:t>
      </w:r>
      <w:proofErr w:type="spellStart"/>
      <w:r w:rsidRPr="00DF34BA">
        <w:rPr>
          <w:szCs w:val="18"/>
          <w:lang w:val="es-MX"/>
        </w:rPr>
        <w:t>Chiu</w:t>
      </w:r>
      <w:proofErr w:type="spellEnd"/>
      <w:r w:rsidRPr="00DF34BA">
        <w:rPr>
          <w:szCs w:val="18"/>
          <w:lang w:val="es-MX"/>
        </w:rPr>
        <w:t>, Director de la Unidad Médica de Alta Especialidad Hospital de Cardiología del Centro Médico Nacional Siglo</w:t>
      </w:r>
      <w:r w:rsidR="00DF34BA">
        <w:rPr>
          <w:szCs w:val="18"/>
          <w:lang w:val="es-MX"/>
        </w:rPr>
        <w:t xml:space="preserve"> </w:t>
      </w:r>
      <w:r w:rsidRPr="00DF34BA">
        <w:rPr>
          <w:szCs w:val="18"/>
          <w:lang w:val="es-MX"/>
        </w:rPr>
        <w:t xml:space="preserve">XXI en la Ciudad de México. 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 xml:space="preserve">Aviso mediante el cual se designa a la Dra. Maritza de la Paz Román, Titular de la Dirección Médica, como la persona que suplirá las ausencias del Dr. Víctor Bernal Dolores, Director de la </w:t>
      </w:r>
      <w:proofErr w:type="gramStart"/>
      <w:r w:rsidRPr="00DF34BA">
        <w:rPr>
          <w:szCs w:val="18"/>
          <w:lang w:val="es-MX"/>
        </w:rPr>
        <w:t>Unidad  Médica</w:t>
      </w:r>
      <w:proofErr w:type="gramEnd"/>
      <w:r w:rsidRPr="00DF34BA">
        <w:rPr>
          <w:szCs w:val="18"/>
          <w:lang w:val="es-MX"/>
        </w:rPr>
        <w:t xml:space="preserve">  de  Alta  Especialidad  No.  </w:t>
      </w:r>
      <w:proofErr w:type="gramStart"/>
      <w:r w:rsidRPr="00DF34BA">
        <w:rPr>
          <w:szCs w:val="18"/>
          <w:lang w:val="es-MX"/>
        </w:rPr>
        <w:t>14,  Centro</w:t>
      </w:r>
      <w:proofErr w:type="gramEnd"/>
      <w:r w:rsidRPr="00DF34BA">
        <w:rPr>
          <w:szCs w:val="18"/>
          <w:lang w:val="es-MX"/>
        </w:rPr>
        <w:t xml:space="preserve">  Médico  Nacional  Adolfo  Ruiz  Cortines</w:t>
      </w:r>
      <w:r w:rsidR="00DF34BA">
        <w:rPr>
          <w:szCs w:val="18"/>
          <w:lang w:val="es-MX"/>
        </w:rPr>
        <w:t xml:space="preserve"> </w:t>
      </w:r>
      <w:bookmarkStart w:id="0" w:name="_GoBack"/>
      <w:bookmarkEnd w:id="0"/>
      <w:r w:rsidRPr="00DF34BA">
        <w:rPr>
          <w:szCs w:val="18"/>
          <w:lang w:val="es-MX"/>
        </w:rPr>
        <w:t xml:space="preserve">en Veracruz. </w:t>
      </w:r>
    </w:p>
    <w:p w:rsidR="00DF34BA" w:rsidRPr="00DF34BA" w:rsidRDefault="00DF34BA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Tipo de cambio para solventar obligaciones denominadas en moneda extranjera pagaderas en la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República Mexicana. ........................................................................................................................</w:t>
      </w:r>
      <w:r w:rsidRPr="00DF34BA">
        <w:rPr>
          <w:szCs w:val="18"/>
          <w:lang w:val="es-MX"/>
        </w:rPr>
        <w:tab/>
        <w:t>172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Tasas de interés interbancarias de equilibrio. ..................................................................................</w:t>
      </w:r>
      <w:r w:rsidRPr="00DF34BA">
        <w:rPr>
          <w:szCs w:val="18"/>
          <w:lang w:val="es-MX"/>
        </w:rPr>
        <w:tab/>
        <w:t>172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Valor de la unidad de inversión. .......................................................................................................</w:t>
      </w:r>
      <w:r w:rsidRPr="00DF34BA">
        <w:rPr>
          <w:szCs w:val="18"/>
          <w:lang w:val="es-MX"/>
        </w:rPr>
        <w:tab/>
        <w:t>173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Índice nacional de precios al consumidor. ........................................................................................</w:t>
      </w:r>
      <w:r w:rsidRPr="00DF34BA">
        <w:rPr>
          <w:szCs w:val="18"/>
          <w:lang w:val="es-MX"/>
        </w:rPr>
        <w:tab/>
        <w:t>174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t>Unidad de medida y actualización. ...................................................................................................</w:t>
      </w:r>
      <w:r w:rsidRPr="00DF34BA">
        <w:rPr>
          <w:szCs w:val="18"/>
          <w:lang w:val="es-MX"/>
        </w:rPr>
        <w:tab/>
        <w:t>174</w:t>
      </w:r>
    </w:p>
    <w:p w:rsidR="007F6DA3" w:rsidRDefault="007F6DA3" w:rsidP="00DF34BA">
      <w:pPr>
        <w:pStyle w:val="sum"/>
        <w:spacing w:line="326" w:lineRule="exact"/>
        <w:ind w:right="620"/>
      </w:pPr>
    </w:p>
    <w:p w:rsidR="007F6DA3" w:rsidRPr="00DF34BA" w:rsidRDefault="007F6DA3" w:rsidP="00DF34B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DF34BA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7F6DA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</w:p>
    <w:p w:rsidR="00ED3BD3" w:rsidRPr="00DF34BA" w:rsidRDefault="007F6DA3" w:rsidP="00DF34BA">
      <w:pPr>
        <w:pStyle w:val="sum"/>
        <w:spacing w:line="326" w:lineRule="exact"/>
        <w:ind w:right="620"/>
        <w:rPr>
          <w:szCs w:val="18"/>
          <w:lang w:val="es-MX"/>
        </w:rPr>
      </w:pPr>
      <w:r w:rsidRPr="00DF34BA">
        <w:rPr>
          <w:szCs w:val="18"/>
          <w:lang w:val="es-MX"/>
        </w:rPr>
        <w:lastRenderedPageBreak/>
        <w:t>Judiciales y generales. .....................................................................................................................</w:t>
      </w:r>
      <w:r w:rsidRPr="00DF34BA">
        <w:rPr>
          <w:szCs w:val="18"/>
          <w:lang w:val="es-MX"/>
        </w:rPr>
        <w:tab/>
        <w:t>175</w:t>
      </w:r>
    </w:p>
    <w:sectPr w:rsidR="00ED3BD3" w:rsidRPr="00DF3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2F" w:rsidRDefault="005A532F" w:rsidP="007F6DA3">
      <w:pPr>
        <w:spacing w:after="0" w:line="240" w:lineRule="auto"/>
      </w:pPr>
      <w:r>
        <w:separator/>
      </w:r>
    </w:p>
  </w:endnote>
  <w:endnote w:type="continuationSeparator" w:id="0">
    <w:p w:rsidR="005A532F" w:rsidRDefault="005A532F" w:rsidP="007F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2F" w:rsidRDefault="005A532F" w:rsidP="007F6DA3">
      <w:pPr>
        <w:spacing w:after="0" w:line="240" w:lineRule="auto"/>
      </w:pPr>
      <w:r>
        <w:separator/>
      </w:r>
    </w:p>
  </w:footnote>
  <w:footnote w:type="continuationSeparator" w:id="0">
    <w:p w:rsidR="005A532F" w:rsidRDefault="005A532F" w:rsidP="007F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 w:rsidP="007F6DA3">
    <w:pPr>
      <w:widowControl w:val="0"/>
      <w:tabs>
        <w:tab w:val="left" w:pos="3740"/>
        <w:tab w:val="left" w:pos="6700"/>
        <w:tab w:val="left" w:pos="828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EAFA7" id="Grupo 9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KZ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IVefpEB9PwfAAD//wMAUEsBAi0AFAAGAAgAAAAhANvh9svuAAAAhQEAABMAAAAAAAAA&#10;AAAAAAAAAAAAAFtDb250ZW50X1R5cGVzXS54bWxQSwECLQAUAAYACAAAACEAWvQsW78AAAAVAQAA&#10;CwAAAAAAAAAAAAAAAAAfAQAAX3JlbHMvLnJlbHNQSwECLQAUAAYACAAAACEAg4Bymc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Viernes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10</w:t>
    </w:r>
    <w:r>
      <w:rPr>
        <w:rFonts w:ascii="Times New Roman" w:hAnsi="Times New Roman"/>
        <w:spacing w:val="-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-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-1"/>
        <w:position w:val="-1"/>
        <w:sz w:val="18"/>
        <w:szCs w:val="18"/>
      </w:rPr>
      <w:t>n</w:t>
    </w:r>
    <w:r>
      <w:rPr>
        <w:rFonts w:ascii="Times New Roman" w:hAnsi="Times New Roman"/>
        <w:position w:val="-1"/>
        <w:sz w:val="18"/>
        <w:szCs w:val="18"/>
      </w:rPr>
      <w:t>ero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spacing w:val="-1"/>
        <w:position w:val="-1"/>
        <w:sz w:val="18"/>
        <w:szCs w:val="18"/>
      </w:rPr>
      <w:t>A</w:t>
    </w:r>
    <w:r>
      <w:rPr>
        <w:rFonts w:ascii="Times New Roman" w:hAnsi="Times New Roman"/>
        <w:position w:val="-1"/>
        <w:sz w:val="18"/>
        <w:szCs w:val="18"/>
      </w:rPr>
      <w:t>L</w:t>
    </w:r>
    <w:r>
      <w:rPr>
        <w:rFonts w:ascii="Times New Roman" w:hAnsi="Times New Roman"/>
        <w:position w:val="-1"/>
        <w:sz w:val="18"/>
        <w:szCs w:val="18"/>
      </w:rPr>
      <w:tab/>
      <w:t>(Segunda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Secci</w:t>
    </w:r>
    <w:r>
      <w:rPr>
        <w:rFonts w:ascii="Times New Roman" w:hAnsi="Times New Roman"/>
        <w:spacing w:val="-1"/>
        <w:position w:val="-1"/>
        <w:sz w:val="18"/>
        <w:szCs w:val="18"/>
      </w:rPr>
      <w:t>ó</w:t>
    </w:r>
    <w:r>
      <w:rPr>
        <w:rFonts w:ascii="Times New Roman" w:hAnsi="Times New Roman"/>
        <w:position w:val="-1"/>
        <w:sz w:val="18"/>
        <w:szCs w:val="18"/>
      </w:rPr>
      <w:t>n)</w:t>
    </w:r>
    <w:r>
      <w:rPr>
        <w:rFonts w:ascii="Times New Roman" w:hAnsi="Times New Roman"/>
        <w:position w:val="-1"/>
        <w:sz w:val="18"/>
        <w:szCs w:val="18"/>
      </w:rPr>
      <w:tab/>
    </w:r>
  </w:p>
  <w:p w:rsidR="007F6DA3" w:rsidRDefault="007F6D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A3" w:rsidRDefault="007F6D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3"/>
    <w:rsid w:val="005A532F"/>
    <w:rsid w:val="007F6DA3"/>
    <w:rsid w:val="00DF34BA"/>
    <w:rsid w:val="00ED3BD3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EC59"/>
  <w15:chartTrackingRefBased/>
  <w15:docId w15:val="{D2C06FFF-E93B-4479-A6EE-90ED0A2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3"/>
  </w:style>
  <w:style w:type="paragraph" w:styleId="Piedepgina">
    <w:name w:val="footer"/>
    <w:basedOn w:val="Normal"/>
    <w:link w:val="PiedepginaCar"/>
    <w:uiPriority w:val="99"/>
    <w:unhideWhenUsed/>
    <w:rsid w:val="007F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3"/>
  </w:style>
  <w:style w:type="paragraph" w:customStyle="1" w:styleId="sum">
    <w:name w:val="sum"/>
    <w:basedOn w:val="Normal"/>
    <w:link w:val="sumCar"/>
    <w:rsid w:val="00DF34BA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DF34BA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2020-01-21T20:10:00Z</dcterms:created>
  <dcterms:modified xsi:type="dcterms:W3CDTF">2020-01-21T20:19:00Z</dcterms:modified>
</cp:coreProperties>
</file>