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 xml:space="preserve">INDICE </w:t>
      </w: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PRIMERA SECCION</w:t>
      </w: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PODER EJECUTIVO</w:t>
      </w:r>
    </w:p>
    <w:p w:rsidR="00CE5EBB" w:rsidRDefault="00CE5EBB" w:rsidP="00CE5EBB">
      <w:pPr>
        <w:pStyle w:val="sum"/>
        <w:spacing w:line="326" w:lineRule="exact"/>
        <w:ind w:right="620"/>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SECRETARIA DE SALUD</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Convenio Específico de Colaboración en materia de transferencia de recursos para la ejecución del Programa Seguro Médico Siglo XXI, por concepto de apoyo económico para el pago de intervenciones cubiertas por el SMSXXI (con SESA), que celebran la Secretaría de Salud y el</w:t>
      </w:r>
      <w:r>
        <w:rPr>
          <w:szCs w:val="18"/>
          <w:lang w:val="es-MX"/>
        </w:rPr>
        <w:t xml:space="preserve"> </w:t>
      </w:r>
      <w:r w:rsidRPr="00CE5EBB">
        <w:rPr>
          <w:szCs w:val="18"/>
          <w:lang w:val="es-MX"/>
        </w:rPr>
        <w:t xml:space="preserve">Estado de Tamaulipas. </w:t>
      </w:r>
      <w:r>
        <w:rPr>
          <w:szCs w:val="18"/>
          <w:lang w:val="es-MX"/>
        </w:rPr>
        <w:tab/>
      </w:r>
    </w:p>
    <w:p w:rsidR="00CE5EBB" w:rsidRDefault="00CE5EBB" w:rsidP="00CE5EBB">
      <w:pPr>
        <w:pStyle w:val="sum"/>
        <w:spacing w:line="326" w:lineRule="exact"/>
        <w:ind w:right="620"/>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COMISION NACIONAL PARA LA PROTECCION Y DEFENSA DE LOS USUARIOS DE SERVICIOS FINANCIEROS</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Acuerdo por el que se suspende en el cómputo de los plazos y términos el día 11 de diciembre de 2019, en los procedimientos llevados a cabo de manera electrónica ante la Comisión Nacional</w:t>
      </w:r>
      <w:r>
        <w:rPr>
          <w:szCs w:val="18"/>
          <w:lang w:val="es-MX"/>
        </w:rPr>
        <w:t xml:space="preserve"> </w:t>
      </w:r>
      <w:r w:rsidRPr="00CE5EBB">
        <w:rPr>
          <w:szCs w:val="18"/>
          <w:lang w:val="es-MX"/>
        </w:rPr>
        <w:t xml:space="preserve">para la Protección y Defensa de los Usuarios de Servicios Financieros. </w:t>
      </w:r>
      <w:r>
        <w:rPr>
          <w:szCs w:val="18"/>
          <w:lang w:val="es-MX"/>
        </w:rPr>
        <w:tab/>
      </w:r>
    </w:p>
    <w:p w:rsidR="00CE5EBB" w:rsidRDefault="00CE5EBB" w:rsidP="00CE5EBB">
      <w:pPr>
        <w:pStyle w:val="sum"/>
        <w:spacing w:line="326" w:lineRule="exact"/>
        <w:ind w:right="620"/>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INSTITUTO NACIONAL DE LOS PUEBLOS INDIGENAS</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Juan </w:t>
      </w:r>
      <w:proofErr w:type="spellStart"/>
      <w:r w:rsidRPr="00CE5EBB">
        <w:rPr>
          <w:szCs w:val="18"/>
          <w:lang w:val="es-MX"/>
        </w:rPr>
        <w:t>Ñumí</w:t>
      </w:r>
      <w:proofErr w:type="spellEnd"/>
      <w:r w:rsidRPr="00CE5EBB">
        <w:rPr>
          <w:szCs w:val="18"/>
          <w:lang w:val="es-MX"/>
        </w:rPr>
        <w:t xml:space="preserve">,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Juan </w:t>
      </w:r>
      <w:proofErr w:type="spellStart"/>
      <w:r w:rsidRPr="00CE5EBB">
        <w:rPr>
          <w:szCs w:val="18"/>
          <w:lang w:val="es-MX"/>
        </w:rPr>
        <w:t>Tamazola</w:t>
      </w:r>
      <w:proofErr w:type="spellEnd"/>
      <w:r w:rsidRPr="00CE5EBB">
        <w:rPr>
          <w:szCs w:val="18"/>
          <w:lang w:val="es-MX"/>
        </w:rPr>
        <w:t xml:space="preserve">,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Mateo Peñasco,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Miguel El Grande,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lastRenderedPageBreak/>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Miguel Peras,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Default="00CE5EBB" w:rsidP="00CE5EBB">
      <w:pPr>
        <w:pStyle w:val="sum"/>
        <w:spacing w:line="326" w:lineRule="exact"/>
        <w:ind w:right="620"/>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Pablo </w:t>
      </w:r>
      <w:proofErr w:type="spellStart"/>
      <w:r w:rsidRPr="00CE5EBB">
        <w:rPr>
          <w:szCs w:val="18"/>
          <w:lang w:val="es-MX"/>
        </w:rPr>
        <w:t>Tijaltepec</w:t>
      </w:r>
      <w:proofErr w:type="spellEnd"/>
      <w:r w:rsidRPr="00CE5EBB">
        <w:rPr>
          <w:szCs w:val="18"/>
          <w:lang w:val="es-MX"/>
        </w:rPr>
        <w:t xml:space="preserve">,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proofErr w:type="gramStart"/>
      <w:r w:rsidRPr="00CE5EBB">
        <w:rPr>
          <w:szCs w:val="18"/>
          <w:lang w:val="es-MX"/>
        </w:rPr>
        <w:t>Convenio  de</w:t>
      </w:r>
      <w:proofErr w:type="gramEnd"/>
      <w:r w:rsidRPr="00CE5EBB">
        <w:rPr>
          <w:szCs w:val="18"/>
          <w:lang w:val="es-MX"/>
        </w:rPr>
        <w:t xml:space="preserve">  Coordinación  y  Concertación  de  Acciones  para  la  ejecución  del  Programa  de Infraestructura  Indígena,  que  celebran  el  Instituto  Nacional  de  los  Pueblos  Indígenas  y  el Municipio de San Pedro El Alto, Estado de Oaxaca.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BANCO DE MEXICO</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Tipo de cambio para solventar obligaciones denominadas en moneda extranjera pagaderas en la</w:t>
      </w:r>
      <w:r>
        <w:rPr>
          <w:szCs w:val="18"/>
          <w:lang w:val="es-MX"/>
        </w:rPr>
        <w:t xml:space="preserve"> </w:t>
      </w:r>
      <w:r w:rsidRPr="00CE5EBB">
        <w:rPr>
          <w:szCs w:val="18"/>
          <w:lang w:val="es-MX"/>
        </w:rPr>
        <w:t xml:space="preserve">República Mexicana.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 xml:space="preserve">Tasas de interés interbancarias de equilibrio.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Costo de captación a plazo de pasivos denominados en dólares de Estados Unidos de América,</w:t>
      </w:r>
      <w:r>
        <w:rPr>
          <w:szCs w:val="18"/>
          <w:lang w:val="es-MX"/>
        </w:rPr>
        <w:t xml:space="preserve"> </w:t>
      </w:r>
      <w:r w:rsidRPr="00CE5EBB">
        <w:rPr>
          <w:szCs w:val="18"/>
          <w:lang w:val="es-MX"/>
        </w:rPr>
        <w:t xml:space="preserve">a cargo de las instituciones de banca múltiple del país (CCP-Dólares).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AVISOS</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 xml:space="preserve">Judiciales y generales.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SEGUNDA SECCION</w:t>
      </w: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PODER EJECUTIVO</w:t>
      </w:r>
    </w:p>
    <w:p w:rsidR="00CE5EBB" w:rsidRDefault="00CE5EBB" w:rsidP="00CE5EBB">
      <w:pPr>
        <w:pStyle w:val="sum"/>
        <w:spacing w:line="326" w:lineRule="exact"/>
        <w:ind w:right="620"/>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SECRETARIA DE HACIENDA Y CREDITO PUBLICO</w:t>
      </w:r>
    </w:p>
    <w:p w:rsidR="00CE5EBB" w:rsidRPr="00CE5EBB" w:rsidRDefault="00CE5EBB" w:rsidP="00CE5EBB">
      <w:pPr>
        <w:pStyle w:val="sum"/>
        <w:spacing w:line="326" w:lineRule="exact"/>
        <w:ind w:right="620"/>
        <w:rPr>
          <w:szCs w:val="18"/>
          <w:lang w:val="es-MX"/>
        </w:rPr>
      </w:pPr>
    </w:p>
    <w:p w:rsidR="00CE5EBB" w:rsidRPr="00CE5EBB" w:rsidRDefault="00CE5EBB" w:rsidP="00CE5EBB">
      <w:pPr>
        <w:pStyle w:val="sum"/>
        <w:spacing w:line="326" w:lineRule="exact"/>
        <w:ind w:right="620"/>
        <w:rPr>
          <w:szCs w:val="18"/>
          <w:lang w:val="es-MX"/>
        </w:rPr>
      </w:pPr>
      <w:r w:rsidRPr="00CE5EBB">
        <w:rPr>
          <w:szCs w:val="18"/>
          <w:lang w:val="es-MX"/>
        </w:rPr>
        <w:t>Anexo 14 de la Resolución Miscelánea Fiscal para 2020, publicada e</w:t>
      </w:r>
      <w:r>
        <w:rPr>
          <w:szCs w:val="18"/>
          <w:lang w:val="es-MX"/>
        </w:rPr>
        <w:t xml:space="preserve">l 28 de diciembre de 2019. </w:t>
      </w:r>
      <w:r>
        <w:rPr>
          <w:szCs w:val="18"/>
          <w:lang w:val="es-MX"/>
        </w:rPr>
        <w:tab/>
      </w:r>
    </w:p>
    <w:p w:rsidR="00CE5EBB" w:rsidRPr="00CE5EBB" w:rsidRDefault="00CE5EBB" w:rsidP="00CE5EBB">
      <w:pPr>
        <w:pStyle w:val="sum"/>
        <w:spacing w:line="326" w:lineRule="exact"/>
        <w:ind w:right="620"/>
        <w:rPr>
          <w:szCs w:val="18"/>
          <w:lang w:val="es-MX"/>
        </w:rPr>
      </w:pP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TERCERA SECCION</w:t>
      </w:r>
    </w:p>
    <w:p w:rsidR="00CE5EBB" w:rsidRPr="00CE5EBB" w:rsidRDefault="00CE5EBB" w:rsidP="00CE5EBB">
      <w:pPr>
        <w:spacing w:after="0" w:line="326" w:lineRule="exact"/>
        <w:ind w:right="620"/>
        <w:jc w:val="center"/>
        <w:outlineLvl w:val="0"/>
        <w:rPr>
          <w:rFonts w:ascii="Times New Roman" w:eastAsia="Times New Roman" w:hAnsi="Times New Roman" w:cs="Times New Roman"/>
          <w:b/>
          <w:bCs/>
          <w:sz w:val="20"/>
          <w:szCs w:val="20"/>
          <w:lang w:eastAsia="es-MX"/>
        </w:rPr>
      </w:pPr>
      <w:r w:rsidRPr="00CE5EBB">
        <w:rPr>
          <w:rFonts w:ascii="Times New Roman" w:eastAsia="Times New Roman" w:hAnsi="Times New Roman" w:cs="Times New Roman"/>
          <w:b/>
          <w:bCs/>
          <w:sz w:val="20"/>
          <w:szCs w:val="20"/>
          <w:lang w:eastAsia="es-MX"/>
        </w:rPr>
        <w:t>PODER EJECUTIVO</w:t>
      </w:r>
    </w:p>
    <w:p w:rsidR="00CE5EBB" w:rsidRDefault="00CE5EBB" w:rsidP="00CE5EBB">
      <w:pPr>
        <w:pStyle w:val="sum"/>
        <w:spacing w:line="326" w:lineRule="exact"/>
        <w:ind w:right="620"/>
      </w:pPr>
    </w:p>
    <w:p w:rsidR="00CE5EBB" w:rsidRPr="00CE5EBB" w:rsidRDefault="00CE5EBB" w:rsidP="00CE5EBB">
      <w:pPr>
        <w:pStyle w:val="sum"/>
        <w:spacing w:line="326" w:lineRule="exact"/>
        <w:ind w:right="620"/>
        <w:rPr>
          <w:rFonts w:ascii="Times New Roman" w:hAnsi="Times New Roman" w:cs="Times New Roman"/>
          <w:b/>
          <w:sz w:val="20"/>
          <w:u w:val="single"/>
          <w:lang w:val="es-MX"/>
        </w:rPr>
      </w:pPr>
      <w:r w:rsidRPr="00CE5EBB">
        <w:rPr>
          <w:rFonts w:ascii="Times New Roman" w:hAnsi="Times New Roman" w:cs="Times New Roman"/>
          <w:b/>
          <w:sz w:val="20"/>
          <w:u w:val="single"/>
          <w:lang w:val="es-MX"/>
        </w:rPr>
        <w:t>SECRETARIA DE EDUCACION PUBLICA</w:t>
      </w:r>
    </w:p>
    <w:p w:rsidR="00CE5EBB" w:rsidRPr="00CE5EBB" w:rsidRDefault="00CE5EBB" w:rsidP="00CE5EBB">
      <w:pPr>
        <w:pStyle w:val="sum"/>
        <w:spacing w:line="326" w:lineRule="exact"/>
        <w:ind w:right="620"/>
        <w:rPr>
          <w:szCs w:val="18"/>
          <w:lang w:val="es-MX"/>
        </w:rPr>
      </w:pPr>
    </w:p>
    <w:p w:rsidR="00EB6B40" w:rsidRPr="00CE5EBB" w:rsidRDefault="00CE5EBB" w:rsidP="00CE5EBB">
      <w:pPr>
        <w:pStyle w:val="sum"/>
        <w:spacing w:line="326" w:lineRule="exact"/>
        <w:ind w:right="620"/>
        <w:rPr>
          <w:szCs w:val="18"/>
          <w:lang w:val="es-MX"/>
        </w:rPr>
      </w:pPr>
      <w:r w:rsidRPr="00CE5EBB">
        <w:rPr>
          <w:szCs w:val="18"/>
          <w:lang w:val="es-MX"/>
        </w:rPr>
        <w:lastRenderedPageBreak/>
        <w:t xml:space="preserve">Anexo al Acuerdo número 33/12/19 por el que se emiten las Reglas de Operación del Programa </w:t>
      </w:r>
      <w:proofErr w:type="gramStart"/>
      <w:r w:rsidRPr="00CE5EBB">
        <w:rPr>
          <w:szCs w:val="18"/>
          <w:lang w:val="es-MX"/>
        </w:rPr>
        <w:t>Fortalecimiento  a</w:t>
      </w:r>
      <w:proofErr w:type="gramEnd"/>
      <w:r w:rsidRPr="00CE5EBB">
        <w:rPr>
          <w:szCs w:val="18"/>
          <w:lang w:val="es-MX"/>
        </w:rPr>
        <w:t xml:space="preserve">  la  Excelencia  Educativa  para  el  ejercicio  fiscal  2020,  publicado  el  29  de diciembre de 2019. </w:t>
      </w:r>
      <w:r>
        <w:rPr>
          <w:szCs w:val="18"/>
          <w:lang w:val="es-MX"/>
        </w:rPr>
        <w:tab/>
      </w:r>
      <w:bookmarkStart w:id="0" w:name="_GoBack"/>
      <w:bookmarkEnd w:id="0"/>
    </w:p>
    <w:sectPr w:rsidR="00EB6B40" w:rsidRPr="00CE5E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F4" w:rsidRDefault="00F21DF4" w:rsidP="00CE5EBB">
      <w:pPr>
        <w:spacing w:after="0" w:line="240" w:lineRule="auto"/>
      </w:pPr>
      <w:r>
        <w:separator/>
      </w:r>
    </w:p>
  </w:endnote>
  <w:endnote w:type="continuationSeparator" w:id="0">
    <w:p w:rsidR="00F21DF4" w:rsidRDefault="00F21DF4" w:rsidP="00CE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F4" w:rsidRDefault="00F21DF4" w:rsidP="00CE5EBB">
      <w:pPr>
        <w:spacing w:after="0" w:line="240" w:lineRule="auto"/>
      </w:pPr>
      <w:r>
        <w:separator/>
      </w:r>
    </w:p>
  </w:footnote>
  <w:footnote w:type="continuationSeparator" w:id="0">
    <w:p w:rsidR="00F21DF4" w:rsidRDefault="00F21DF4" w:rsidP="00CE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EBB" w:rsidRDefault="00CE5EBB" w:rsidP="00CE5EBB">
    <w:pPr>
      <w:widowControl w:val="0"/>
      <w:tabs>
        <w:tab w:val="left" w:pos="3740"/>
        <w:tab w:val="left" w:pos="6780"/>
        <w:tab w:val="left" w:pos="8280"/>
      </w:tabs>
      <w:autoSpaceDE w:val="0"/>
      <w:autoSpaceDN w:val="0"/>
      <w:adjustRightInd w:val="0"/>
      <w:spacing w:before="72" w:after="0" w:line="203" w:lineRule="exact"/>
      <w:ind w:left="267" w:right="-20"/>
      <w:rPr>
        <w:rFonts w:ascii="Times New Roman" w:hAnsi="Times New Roman"/>
        <w:sz w:val="18"/>
        <w:szCs w:val="18"/>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ragraph">
                <wp:posOffset>191770</wp:posOffset>
              </wp:positionV>
              <wp:extent cx="5297805" cy="2857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302"/>
                        <a:chExt cx="8343" cy="45"/>
                      </a:xfrm>
                    </wpg:grpSpPr>
                    <wps:wsp>
                      <wps:cNvPr id="6" name="Freeform 2"/>
                      <wps:cNvSpPr>
                        <a:spLocks/>
                      </wps:cNvSpPr>
                      <wps:spPr bwMode="auto">
                        <a:xfrm>
                          <a:off x="1957" y="339"/>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957" y="31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B40AD" id="Grupo 5" o:spid="_x0000_s1026" style="position:absolute;margin-left:97.4pt;margin-top:15.1pt;width:417.15pt;height:2.25pt;z-index:-251657216;mso-position-horizontal-relative:page" coordorigin="1948,302"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" o:allowincell="f">
              <v:shape id="Freeform 2" o:spid="_x0000_s1027" style="position:absolute;left:1957;top:339;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" path="m,l8325,e" filled="f" strokeweight=".82pt">
                <v:path arrowok="t" o:connecttype="custom" o:connectlocs="0,0;8325,0" o:connectangles="0,0"/>
              </v:shape>
              <v:shape id="Freeform 3" o:spid="_x0000_s1028" style="position:absolute;left:1957;top:31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" path="m,l8325,e" filled="f" strokeweight=".82pt">
                <v:path arrowok="t" o:connecttype="custom" o:connectlocs="0,0;8325,0" o:connectangles="0,0"/>
              </v:shape>
              <w10:wrap anchorx="page"/>
            </v:group>
          </w:pict>
        </mc:Fallback>
      </mc:AlternateContent>
    </w:r>
    <w:r>
      <w:rPr>
        <w:rFonts w:ascii="Times New Roman" w:hAnsi="Times New Roman"/>
        <w:position w:val="-1"/>
        <w:sz w:val="18"/>
        <w:szCs w:val="18"/>
      </w:rPr>
      <w:t>Lunes</w:t>
    </w:r>
    <w:r>
      <w:rPr>
        <w:rFonts w:ascii="Times New Roman" w:hAnsi="Times New Roman"/>
        <w:spacing w:val="1"/>
        <w:position w:val="-1"/>
        <w:sz w:val="18"/>
        <w:szCs w:val="18"/>
      </w:rPr>
      <w:t xml:space="preserve"> </w:t>
    </w:r>
    <w:r>
      <w:rPr>
        <w:rFonts w:ascii="Times New Roman" w:hAnsi="Times New Roman"/>
        <w:position w:val="-1"/>
        <w:sz w:val="18"/>
        <w:szCs w:val="18"/>
      </w:rPr>
      <w:t>13</w:t>
    </w:r>
    <w:r>
      <w:rPr>
        <w:rFonts w:ascii="Times New Roman" w:hAnsi="Times New Roman"/>
        <w:spacing w:val="1"/>
        <w:position w:val="-1"/>
        <w:sz w:val="18"/>
        <w:szCs w:val="18"/>
      </w:rPr>
      <w:t xml:space="preserve"> </w:t>
    </w:r>
    <w:r>
      <w:rPr>
        <w:rFonts w:ascii="Times New Roman" w:hAnsi="Times New Roman"/>
        <w:spacing w:val="-1"/>
        <w:position w:val="-1"/>
        <w:sz w:val="18"/>
        <w:szCs w:val="18"/>
      </w:rPr>
      <w:t>d</w:t>
    </w:r>
    <w:r>
      <w:rPr>
        <w:rFonts w:ascii="Times New Roman" w:hAnsi="Times New Roman"/>
        <w:position w:val="-1"/>
        <w:sz w:val="18"/>
        <w:szCs w:val="18"/>
      </w:rPr>
      <w:t>e enero</w:t>
    </w:r>
    <w:r>
      <w:rPr>
        <w:rFonts w:ascii="Times New Roman" w:hAnsi="Times New Roman"/>
        <w:spacing w:val="1"/>
        <w:position w:val="-1"/>
        <w:sz w:val="18"/>
        <w:szCs w:val="18"/>
      </w:rPr>
      <w:t xml:space="preserve"> </w:t>
    </w:r>
    <w:r>
      <w:rPr>
        <w:rFonts w:ascii="Times New Roman" w:hAnsi="Times New Roman"/>
        <w:position w:val="-1"/>
        <w:sz w:val="18"/>
        <w:szCs w:val="18"/>
      </w:rPr>
      <w:t>de</w:t>
    </w:r>
    <w:r>
      <w:rPr>
        <w:rFonts w:ascii="Times New Roman" w:hAnsi="Times New Roman"/>
        <w:spacing w:val="1"/>
        <w:position w:val="-1"/>
        <w:sz w:val="18"/>
        <w:szCs w:val="18"/>
      </w:rPr>
      <w:t xml:space="preserve"> </w:t>
    </w:r>
    <w:r>
      <w:rPr>
        <w:rFonts w:ascii="Times New Roman" w:hAnsi="Times New Roman"/>
        <w:position w:val="-1"/>
        <w:sz w:val="18"/>
        <w:szCs w:val="18"/>
      </w:rPr>
      <w:t>2020</w:t>
    </w:r>
    <w:r>
      <w:rPr>
        <w:rFonts w:ascii="Times New Roman" w:hAnsi="Times New Roman"/>
        <w:position w:val="-1"/>
        <w:sz w:val="18"/>
        <w:szCs w:val="18"/>
      </w:rPr>
      <w:tab/>
      <w:t>DIARIO</w:t>
    </w:r>
    <w:r>
      <w:rPr>
        <w:rFonts w:ascii="Times New Roman" w:hAnsi="Times New Roman"/>
        <w:spacing w:val="1"/>
        <w:position w:val="-1"/>
        <w:sz w:val="18"/>
        <w:szCs w:val="18"/>
      </w:rPr>
      <w:t xml:space="preserve"> </w:t>
    </w:r>
    <w:r>
      <w:rPr>
        <w:rFonts w:ascii="Times New Roman" w:hAnsi="Times New Roman"/>
        <w:position w:val="-1"/>
        <w:sz w:val="18"/>
        <w:szCs w:val="18"/>
      </w:rPr>
      <w:t>OFIC</w:t>
    </w:r>
    <w:r>
      <w:rPr>
        <w:rFonts w:ascii="Times New Roman" w:hAnsi="Times New Roman"/>
        <w:spacing w:val="1"/>
        <w:position w:val="-1"/>
        <w:sz w:val="18"/>
        <w:szCs w:val="18"/>
      </w:rPr>
      <w:t>I</w:t>
    </w:r>
    <w:r>
      <w:rPr>
        <w:rFonts w:ascii="Times New Roman" w:hAnsi="Times New Roman"/>
        <w:position w:val="-1"/>
        <w:sz w:val="18"/>
        <w:szCs w:val="18"/>
      </w:rPr>
      <w:t>AL</w:t>
    </w:r>
    <w:r>
      <w:rPr>
        <w:rFonts w:ascii="Times New Roman" w:hAnsi="Times New Roman"/>
        <w:position w:val="-1"/>
        <w:sz w:val="18"/>
        <w:szCs w:val="18"/>
      </w:rPr>
      <w:tab/>
      <w:t>(Tercera</w:t>
    </w:r>
    <w:r>
      <w:rPr>
        <w:rFonts w:ascii="Times New Roman" w:hAnsi="Times New Roman"/>
        <w:spacing w:val="1"/>
        <w:position w:val="-1"/>
        <w:sz w:val="18"/>
        <w:szCs w:val="18"/>
      </w:rPr>
      <w:t xml:space="preserve"> </w:t>
    </w:r>
    <w:r>
      <w:rPr>
        <w:rFonts w:ascii="Times New Roman" w:hAnsi="Times New Roman"/>
        <w:position w:val="-1"/>
        <w:sz w:val="18"/>
        <w:szCs w:val="18"/>
      </w:rPr>
      <w:t>Secció</w:t>
    </w:r>
    <w:r>
      <w:rPr>
        <w:rFonts w:ascii="Times New Roman" w:hAnsi="Times New Roman"/>
        <w:spacing w:val="-1"/>
        <w:position w:val="-1"/>
        <w:sz w:val="18"/>
        <w:szCs w:val="18"/>
      </w:rPr>
      <w:t>n</w:t>
    </w:r>
    <w:r>
      <w:rPr>
        <w:rFonts w:ascii="Times New Roman" w:hAnsi="Times New Roman"/>
        <w:position w:val="-1"/>
        <w:sz w:val="18"/>
        <w:szCs w:val="18"/>
      </w:rPr>
      <w:t>)</w:t>
    </w:r>
    <w:r>
      <w:rPr>
        <w:rFonts w:ascii="Times New Roman" w:hAnsi="Times New Roman"/>
        <w:position w:val="-1"/>
        <w:sz w:val="18"/>
        <w:szCs w:val="18"/>
      </w:rPr>
      <w:tab/>
    </w:r>
  </w:p>
  <w:p w:rsidR="00CE5EBB" w:rsidRDefault="00CE5E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BB"/>
    <w:rsid w:val="00CE5EBB"/>
    <w:rsid w:val="00EB6B40"/>
    <w:rsid w:val="00F21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665B"/>
  <w15:chartTrackingRefBased/>
  <w15:docId w15:val="{A3986B31-4045-4837-B092-AA0737E5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5E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5EBB"/>
  </w:style>
  <w:style w:type="paragraph" w:styleId="Piedepgina">
    <w:name w:val="footer"/>
    <w:basedOn w:val="Normal"/>
    <w:link w:val="PiedepginaCar"/>
    <w:uiPriority w:val="99"/>
    <w:unhideWhenUsed/>
    <w:rsid w:val="00CE5E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5EBB"/>
  </w:style>
  <w:style w:type="paragraph" w:customStyle="1" w:styleId="sum">
    <w:name w:val="sum"/>
    <w:basedOn w:val="Normal"/>
    <w:link w:val="sumCar"/>
    <w:rsid w:val="00CE5EBB"/>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CE5EBB"/>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CE5E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518</Words>
  <Characters>2853</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2020-01-21T18:42:00Z</cp:lastPrinted>
  <dcterms:created xsi:type="dcterms:W3CDTF">2020-01-21T18:29:00Z</dcterms:created>
  <dcterms:modified xsi:type="dcterms:W3CDTF">2020-01-21T18:47:00Z</dcterms:modified>
</cp:coreProperties>
</file>