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PRIMERA SECCION </w:t>
      </w:r>
    </w:p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C07696" w:rsidRDefault="00C07696" w:rsidP="00C07696">
      <w:pPr>
        <w:pStyle w:val="sum"/>
        <w:spacing w:line="326" w:lineRule="exact"/>
        <w:ind w:right="620"/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SECRETARIA DE RELACIONES EXTERIORES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Decreto por el que se aprueba el Acuerdo sobre Servicios Aéreos entre el Gobierno de los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>Estados Unidos Mexicanos y el Gobierno de la República de Finlandia, hecho en la Ciudad de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México el catorce de febrero de dos mil diecinueve.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Decreto por el que se aprueba el Tercer Protocolo Adicional del Acuerdo de Asociación Económica, Concertación Política y Cooperación entre los Estados Unidos Mexicanos, por una Parte, y la Comunidad Europea y sus Estados Miembros, por Otra, para Tener en Cuenta la Adhesión de la República de Croacia a la Unión Europea, hecho en Bruselas, el veintisiete de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noviembre de dos mil dieciocho.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Acuerdo por el que se emiten las Reglas de Operación del Programa de Abasto Rural a cargo de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Diconsa, S.A. de C.V. (DICONSA) para el ejercicio fiscal 2020.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Acuerdo  por  el  que  se  dan  a  conocer  las  Reglas  de  Operación  del  Programa  de  Sanidad e Inocuidad Agroalimentaria de la Secretaría de Agricultura y Desarrollo Rural, para el ejercicio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2020.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Convenio Específico de Colaboración en materia de transferencia de recursos presupuestarios federales con el carácter de subsidios provenientes del Programa Nacional de Reconstrucción, para acciones de rehabilitación y reconstrucción de infraestructura y equipamiento de salud, que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celebran la Secretaría de Salud y el Estado de México.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SECRETARIA DE CULTURA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Acuerdo  por  el  que  se  emiten  las  Reglas  de  Operación  del  Programa  Nacional  de  Becas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Artísticas y Culturales para el ejercicio fiscal 2020.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COMISION NACIONAL DE HIDROCARBUROS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lastRenderedPageBreak/>
        <w:t>Acuerdo CNH.14.004/19 por el que se emiten las Reglas de Operación del Consejo Consultivo de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la Comisión Nacional de Hidrocarburos.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 xml:space="preserve"> </w:t>
      </w:r>
    </w:p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C07696" w:rsidRDefault="00C07696" w:rsidP="00C07696">
      <w:pPr>
        <w:pStyle w:val="sum"/>
        <w:spacing w:line="326" w:lineRule="exact"/>
        <w:ind w:right="620"/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Sentencia dictada por el Tribunal Pleno de la Suprema Corte de Justicia de la Nación en la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>Acción de Inconstitucionalidad 1/2016, así como el Voto Concurrente formulado por el Ministro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Jorge Mario Pardo Rebolledo.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Tipo de cambio para solventar obligaciones denominadas en moneda extranjera pagaderas en la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República Mexicana.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 xml:space="preserve">Tasas de interés interbancarias de equilibrio.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COMISION FEDERAL DE COMPETENCIA ECONOMICA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 xml:space="preserve">Información relativa a los ingresos, egresos, saldos y destino de los Fideicomisos en los que participa la Comisión Federal de Competencia Económica, en cumplimiento a lo que establece el artículo 12 de la Ley Federal de Presupuesto y Responsabilidad Hacendaria.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>Encadenamiento de productos del índice nacional de precios al consumidor, correspondiente al</w:t>
      </w:r>
      <w:r w:rsidRPr="00C07696">
        <w:rPr>
          <w:szCs w:val="18"/>
          <w:lang w:val="es-MX"/>
        </w:rPr>
        <w:t xml:space="preserve"> </w:t>
      </w:r>
      <w:r w:rsidRPr="00C07696">
        <w:rPr>
          <w:szCs w:val="18"/>
          <w:lang w:val="es-MX"/>
        </w:rPr>
        <w:t xml:space="preserve">mes de diciembre de 2019.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Default="00C07696" w:rsidP="00C07696">
      <w:pPr>
        <w:pStyle w:val="sum"/>
        <w:spacing w:line="326" w:lineRule="exact"/>
        <w:ind w:right="620"/>
      </w:pPr>
      <w:r w:rsidRPr="00C07696">
        <w:rPr>
          <w:szCs w:val="18"/>
          <w:lang w:val="es-MX"/>
        </w:rPr>
        <w:t>Licita</w:t>
      </w:r>
      <w:r>
        <w:t xml:space="preserve">ciones Públicas Nacionales e Internacionales. </w:t>
      </w:r>
    </w:p>
    <w:p w:rsidR="00C07696" w:rsidRDefault="00C07696" w:rsidP="00C07696">
      <w:pPr>
        <w:pStyle w:val="sum"/>
        <w:spacing w:line="326" w:lineRule="exact"/>
        <w:ind w:right="620"/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 xml:space="preserve">Judiciales y generales. </w:t>
      </w:r>
    </w:p>
    <w:p w:rsidR="00C07696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</w:p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C07696" w:rsidRPr="00C07696" w:rsidRDefault="00C07696" w:rsidP="00C0769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C0769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lastRenderedPageBreak/>
        <w:t>PODER EJECUTIVO</w:t>
      </w:r>
    </w:p>
    <w:bookmarkEnd w:id="0"/>
    <w:p w:rsidR="00C07696" w:rsidRDefault="00C07696" w:rsidP="00C07696">
      <w:pPr>
        <w:pStyle w:val="sum"/>
        <w:spacing w:line="326" w:lineRule="exact"/>
        <w:ind w:right="620"/>
      </w:pPr>
    </w:p>
    <w:p w:rsidR="00C07696" w:rsidRPr="00C07696" w:rsidRDefault="00C07696" w:rsidP="00C0769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C07696">
        <w:rPr>
          <w:rFonts w:ascii="Times New Roman" w:hAnsi="Times New Roman" w:cs="Times New Roman"/>
          <w:b/>
          <w:sz w:val="20"/>
          <w:u w:val="single"/>
          <w:lang w:val="es-MX"/>
        </w:rPr>
        <w:t>COMISION NACIONAL FORESTAL</w:t>
      </w:r>
    </w:p>
    <w:p w:rsidR="008420A5" w:rsidRPr="00C07696" w:rsidRDefault="00C07696" w:rsidP="00C07696">
      <w:pPr>
        <w:pStyle w:val="sum"/>
        <w:spacing w:line="326" w:lineRule="exact"/>
        <w:ind w:right="620"/>
        <w:rPr>
          <w:szCs w:val="18"/>
          <w:lang w:val="es-MX"/>
        </w:rPr>
      </w:pPr>
      <w:r w:rsidRPr="00C07696">
        <w:rPr>
          <w:szCs w:val="18"/>
          <w:lang w:val="es-MX"/>
        </w:rPr>
        <w:t xml:space="preserve">Reglas de Operación del Programa Apoyos para el Desarrollo Forestal Sustentable 2020. </w:t>
      </w:r>
    </w:p>
    <w:sectPr w:rsidR="008420A5" w:rsidRPr="00C07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96"/>
    <w:rsid w:val="008420A5"/>
    <w:rsid w:val="00C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0FEC"/>
  <w15:chartTrackingRefBased/>
  <w15:docId w15:val="{6102A97E-986B-4FBA-A123-B56A5F3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">
    <w:name w:val="sum"/>
    <w:basedOn w:val="Normal"/>
    <w:link w:val="sumCar"/>
    <w:rsid w:val="00C07696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C07696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2020-01-20T20:16:00Z</dcterms:created>
  <dcterms:modified xsi:type="dcterms:W3CDTF">2020-01-20T20:21:00Z</dcterms:modified>
</cp:coreProperties>
</file>