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r w:rsidRPr="00F60F71">
        <w:rPr>
          <w:rFonts w:ascii="Times New Roman" w:eastAsia="Times New Roman" w:hAnsi="Times New Roman" w:cs="Times New Roman"/>
          <w:b/>
          <w:bCs/>
          <w:sz w:val="20"/>
          <w:szCs w:val="20"/>
          <w:lang w:eastAsia="es-MX"/>
        </w:rPr>
        <w:t xml:space="preserve">INDICE </w:t>
      </w:r>
    </w:p>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r w:rsidRPr="00F60F71">
        <w:rPr>
          <w:rFonts w:ascii="Times New Roman" w:eastAsia="Times New Roman" w:hAnsi="Times New Roman" w:cs="Times New Roman"/>
          <w:b/>
          <w:bCs/>
          <w:sz w:val="20"/>
          <w:szCs w:val="20"/>
          <w:lang w:eastAsia="es-MX"/>
        </w:rPr>
        <w:t xml:space="preserve">PRIMERA SECCION </w:t>
      </w:r>
    </w:p>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r w:rsidRPr="00F60F71">
        <w:rPr>
          <w:rFonts w:ascii="Times New Roman" w:eastAsia="Times New Roman" w:hAnsi="Times New Roman" w:cs="Times New Roman"/>
          <w:b/>
          <w:bCs/>
          <w:sz w:val="20"/>
          <w:szCs w:val="20"/>
          <w:lang w:eastAsia="es-MX"/>
        </w:rPr>
        <w:t>PODER EJECUTIVO</w:t>
      </w:r>
    </w:p>
    <w:p w:rsidR="00F60F71" w:rsidRDefault="00F60F71" w:rsidP="00F60F71">
      <w:pPr>
        <w:pStyle w:val="sum"/>
        <w:spacing w:line="326" w:lineRule="exact"/>
        <w:ind w:right="620"/>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GOBERNACION</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Convenio de Coordinación que celebran la Secretaría de Gobernación y el Estado de Oaxaca, para promover la adopción, el uso y la certificación de la Clave Única de Registro de Población (CURP), entre los usuarios del Colegio de Bachilleres del Estado de Oaxaca.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Extracto  de</w:t>
      </w:r>
      <w:proofErr w:type="gramEnd"/>
      <w:r w:rsidRPr="00F60F71">
        <w:rPr>
          <w:szCs w:val="18"/>
          <w:lang w:val="es-MX"/>
        </w:rPr>
        <w:t xml:space="preserve">  la  solicitud  de  registro  de  la  agrupación  denominada  Laicos  Consagrados  RC, para constituirse en asociación religiosa.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Extracto de la solicitud de registro de la entidad interna denominada Parroquia San Francisco </w:t>
      </w:r>
      <w:proofErr w:type="gramStart"/>
      <w:r w:rsidRPr="00F60F71">
        <w:rPr>
          <w:szCs w:val="18"/>
          <w:lang w:val="es-MX"/>
        </w:rPr>
        <w:t>de  Asís</w:t>
      </w:r>
      <w:proofErr w:type="gramEnd"/>
      <w:r w:rsidRPr="00F60F71">
        <w:rPr>
          <w:szCs w:val="18"/>
          <w:lang w:val="es-MX"/>
        </w:rPr>
        <w:t xml:space="preserve">,  </w:t>
      </w:r>
      <w:proofErr w:type="spellStart"/>
      <w:r w:rsidRPr="00F60F71">
        <w:rPr>
          <w:szCs w:val="18"/>
          <w:lang w:val="es-MX"/>
        </w:rPr>
        <w:t>Cardel</w:t>
      </w:r>
      <w:proofErr w:type="spellEnd"/>
      <w:r w:rsidRPr="00F60F71">
        <w:rPr>
          <w:szCs w:val="18"/>
          <w:lang w:val="es-MX"/>
        </w:rPr>
        <w:t xml:space="preserve">,  Ver.,  para  constituirse  en  asociación  religiosa;  derivada  de  Diócesis  de Veracruz, A.R.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Extracto  de</w:t>
      </w:r>
      <w:proofErr w:type="gramEnd"/>
      <w:r w:rsidRPr="00F60F71">
        <w:rPr>
          <w:szCs w:val="18"/>
          <w:lang w:val="es-MX"/>
        </w:rPr>
        <w:t xml:space="preserve">  la  solicitud  de  registro  de  la  entidad  interna  denominada  Parroquia  San  Judas Tadeo,  Boca del Río, Ver., para constituirse en asociación religiosa; derivada de Diócesis de Veracruz, A.R.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Extracto  de</w:t>
      </w:r>
      <w:proofErr w:type="gramEnd"/>
      <w:r w:rsidRPr="00F60F71">
        <w:rPr>
          <w:szCs w:val="18"/>
          <w:lang w:val="es-MX"/>
        </w:rPr>
        <w:t xml:space="preserve">  la  solicitud  de  registro  de  la  agrupación  denominada  Monasterio  Cristo  Rey  y</w:t>
      </w:r>
      <w:r w:rsidRPr="00F60F71">
        <w:rPr>
          <w:szCs w:val="18"/>
          <w:lang w:val="es-MX"/>
        </w:rPr>
        <w:t xml:space="preserve"> </w:t>
      </w:r>
      <w:r w:rsidRPr="00F60F71">
        <w:rPr>
          <w:szCs w:val="18"/>
          <w:lang w:val="es-MX"/>
        </w:rPr>
        <w:t>Santa María de los Ángeles, para constituirse en asociación religiosa.</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Extracto de la solicitud de registro de la agrupación denominada Nuestra Iglesia de Jesús en </w:t>
      </w:r>
      <w:proofErr w:type="spellStart"/>
      <w:r w:rsidRPr="00F60F71">
        <w:rPr>
          <w:szCs w:val="18"/>
          <w:lang w:val="es-MX"/>
        </w:rPr>
        <w:t>Tij</w:t>
      </w:r>
      <w:proofErr w:type="spellEnd"/>
      <w:r w:rsidRPr="00F60F71">
        <w:rPr>
          <w:szCs w:val="18"/>
          <w:lang w:val="es-MX"/>
        </w:rPr>
        <w:t>,</w:t>
      </w:r>
      <w:r w:rsidRPr="00F60F71">
        <w:rPr>
          <w:szCs w:val="18"/>
          <w:lang w:val="es-MX"/>
        </w:rPr>
        <w:t xml:space="preserve"> </w:t>
      </w:r>
      <w:r w:rsidRPr="00F60F71">
        <w:rPr>
          <w:szCs w:val="18"/>
          <w:lang w:val="es-MX"/>
        </w:rPr>
        <w:t xml:space="preserve">B.C., para constituirse en asociación religiosa.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Extracto de la solicitud de registro de la agrupación denominada Iglesia Evangélica Emmanuel de</w:t>
      </w:r>
      <w:r w:rsidRPr="00F60F71">
        <w:rPr>
          <w:szCs w:val="18"/>
          <w:lang w:val="es-MX"/>
        </w:rPr>
        <w:t xml:space="preserve"> </w:t>
      </w:r>
      <w:r w:rsidRPr="00F60F71">
        <w:rPr>
          <w:szCs w:val="18"/>
          <w:lang w:val="es-MX"/>
        </w:rPr>
        <w:t xml:space="preserve">Antón Lizardo, Ver., para constituirse en asociación religiosa.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RELACIONES EXTERIORES</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Decreto por el que se aprueba el Acta de Ginebra del Arreglo de la Haya relativo al Registro Internacional de Dibujos y Modelos Industriales, adoptada en Ginebra el dos de julio de mil novecientos noventa y nueve.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Decreto por el que se aprueba el Protocolo Modificatorio del Convenio entre los Estados Unidos Mexicanos y la República Argentina sobre Traslado de Nacionales Condenados y Cumplimiento de </w:t>
      </w:r>
      <w:r w:rsidRPr="00F60F71">
        <w:rPr>
          <w:szCs w:val="18"/>
          <w:lang w:val="es-MX"/>
        </w:rPr>
        <w:lastRenderedPageBreak/>
        <w:t>Sentencias Penales, del ocho de octubre de mil novecientos noventa, firmado en la ciudad de</w:t>
      </w:r>
      <w:r w:rsidRPr="00F60F71">
        <w:rPr>
          <w:szCs w:val="18"/>
          <w:lang w:val="es-MX"/>
        </w:rPr>
        <w:t xml:space="preserve"> </w:t>
      </w:r>
      <w:r w:rsidRPr="00F60F71">
        <w:rPr>
          <w:szCs w:val="18"/>
          <w:lang w:val="es-MX"/>
        </w:rPr>
        <w:t xml:space="preserve">Buenos Aires, Argentina, el veintinueve de noviembre de dos mil dieciocho.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Decreto por el que se aprueban las Declaraciones del Estado Mexicano al Acta de Ginebra del</w:t>
      </w:r>
      <w:r w:rsidRPr="00F60F71">
        <w:rPr>
          <w:szCs w:val="18"/>
          <w:lang w:val="es-MX"/>
        </w:rPr>
        <w:t xml:space="preserve"> </w:t>
      </w:r>
      <w:r w:rsidRPr="00F60F71">
        <w:rPr>
          <w:szCs w:val="18"/>
          <w:lang w:val="es-MX"/>
        </w:rPr>
        <w:t>Arreglo de la Haya relativo al Registro Internacional de Dibujos y Modelos Industriales, adoptada</w:t>
      </w:r>
      <w:r w:rsidRPr="00F60F71">
        <w:rPr>
          <w:szCs w:val="18"/>
          <w:lang w:val="es-MX"/>
        </w:rPr>
        <w:t xml:space="preserve"> </w:t>
      </w:r>
      <w:r w:rsidRPr="00F60F71">
        <w:rPr>
          <w:szCs w:val="18"/>
          <w:lang w:val="es-MX"/>
        </w:rPr>
        <w:t xml:space="preserve">en Ginebra el dos de julio de mil novecientos noventa y nueve.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SEGURIDAD Y PROTECCION CIUDADANA</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Declaratoria de Emergencia por la presencia de nevada severa ocurrida del 3 al 5 de enero de</w:t>
      </w:r>
      <w:r w:rsidRPr="00F60F71">
        <w:rPr>
          <w:szCs w:val="18"/>
          <w:lang w:val="es-MX"/>
        </w:rPr>
        <w:t xml:space="preserve"> </w:t>
      </w:r>
      <w:r w:rsidRPr="00F60F71">
        <w:rPr>
          <w:szCs w:val="18"/>
          <w:lang w:val="es-MX"/>
        </w:rPr>
        <w:t>2020, así como por la presencia de helada severa ocurrida los días 3 y 4 de enero de 2020 en el</w:t>
      </w:r>
      <w:r w:rsidRPr="00F60F71">
        <w:rPr>
          <w:szCs w:val="18"/>
          <w:lang w:val="es-MX"/>
        </w:rPr>
        <w:t xml:space="preserve"> </w:t>
      </w:r>
      <w:r w:rsidRPr="00F60F71">
        <w:rPr>
          <w:szCs w:val="18"/>
          <w:lang w:val="es-MX"/>
        </w:rPr>
        <w:t xml:space="preserve">Municipio de </w:t>
      </w:r>
      <w:proofErr w:type="spellStart"/>
      <w:r w:rsidRPr="00F60F71">
        <w:rPr>
          <w:szCs w:val="18"/>
          <w:lang w:val="es-MX"/>
        </w:rPr>
        <w:t>Balleza</w:t>
      </w:r>
      <w:proofErr w:type="spellEnd"/>
      <w:r w:rsidRPr="00F60F71">
        <w:rPr>
          <w:szCs w:val="18"/>
          <w:lang w:val="es-MX"/>
        </w:rPr>
        <w:t xml:space="preserve"> del Estado de Chihuahua y por la presencia de nevada severa los días 4 y 5</w:t>
      </w:r>
      <w:r w:rsidRPr="00F60F71">
        <w:rPr>
          <w:szCs w:val="18"/>
          <w:lang w:val="es-MX"/>
        </w:rPr>
        <w:t xml:space="preserve"> </w:t>
      </w:r>
      <w:r w:rsidRPr="00F60F71">
        <w:rPr>
          <w:szCs w:val="18"/>
          <w:lang w:val="es-MX"/>
        </w:rPr>
        <w:t xml:space="preserve">de enero de 2020 en el Municipio de Guadalupe y Calvo de dicha entidad federativa.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HACIENDA Y CREDITO PUBLICO</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Resolución que reforma y adiciona las Disposiciones de carácter general a que se refieren los artículos 115 de la Ley de Instituciones de Crédito en relación con el 87-D de la Ley General de </w:t>
      </w:r>
      <w:proofErr w:type="gramStart"/>
      <w:r w:rsidRPr="00F60F71">
        <w:rPr>
          <w:szCs w:val="18"/>
          <w:lang w:val="es-MX"/>
        </w:rPr>
        <w:t>Organizaciones  y</w:t>
      </w:r>
      <w:proofErr w:type="gramEnd"/>
      <w:r w:rsidRPr="00F60F71">
        <w:rPr>
          <w:szCs w:val="18"/>
          <w:lang w:val="es-MX"/>
        </w:rPr>
        <w:t xml:space="preserve">  Actividades  Auxiliares  del  Crédito  y  95-Bis  de  este  último  ordenamiento, aplicables a las sociedades financieras de objeto múltiple. </w:t>
      </w:r>
    </w:p>
    <w:p w:rsidR="00F60F71" w:rsidRPr="00F60F71" w:rsidRDefault="00F60F71" w:rsidP="00F60F71">
      <w:pPr>
        <w:pStyle w:val="sum"/>
        <w:spacing w:line="326" w:lineRule="exact"/>
        <w:ind w:right="620"/>
        <w:rPr>
          <w:szCs w:val="18"/>
          <w:lang w:val="es-MX"/>
        </w:rPr>
      </w:pPr>
      <w:r w:rsidRPr="00F60F71">
        <w:rPr>
          <w:szCs w:val="18"/>
          <w:lang w:val="es-MX"/>
        </w:rPr>
        <w:t xml:space="preserve"> </w:t>
      </w:r>
    </w:p>
    <w:p w:rsidR="00F60F71" w:rsidRPr="00F60F71" w:rsidRDefault="00F60F71" w:rsidP="00F60F71">
      <w:pPr>
        <w:pStyle w:val="sum"/>
        <w:spacing w:line="326" w:lineRule="exact"/>
        <w:ind w:right="620"/>
        <w:rPr>
          <w:szCs w:val="18"/>
          <w:lang w:val="es-MX"/>
        </w:rPr>
      </w:pPr>
      <w:r w:rsidRPr="00F60F71">
        <w:rPr>
          <w:szCs w:val="18"/>
          <w:lang w:val="es-MX"/>
        </w:rPr>
        <w:t xml:space="preserve">Acuerdo por el que se dan a conocer los porcentajes y los montos del estímulo fiscal, así como </w:t>
      </w:r>
      <w:proofErr w:type="gramStart"/>
      <w:r w:rsidRPr="00F60F71">
        <w:rPr>
          <w:szCs w:val="18"/>
          <w:lang w:val="es-MX"/>
        </w:rPr>
        <w:t>las  cuotas</w:t>
      </w:r>
      <w:proofErr w:type="gramEnd"/>
      <w:r w:rsidRPr="00F60F71">
        <w:rPr>
          <w:szCs w:val="18"/>
          <w:lang w:val="es-MX"/>
        </w:rPr>
        <w:t xml:space="preserve">  disminuidas  del  impuesto  especial  sobre  producción  y  servicios  aplicables  a  los combustibles que se indican, correspondientes al periodo que se especifica.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Acuerdo por el cual se dan a conocer los montos de los estímulos fiscales aplicables a la </w:t>
      </w:r>
      <w:proofErr w:type="gramStart"/>
      <w:r w:rsidRPr="00F60F71">
        <w:rPr>
          <w:szCs w:val="18"/>
          <w:lang w:val="es-MX"/>
        </w:rPr>
        <w:t>enajenación  de</w:t>
      </w:r>
      <w:proofErr w:type="gramEnd"/>
      <w:r w:rsidRPr="00F60F71">
        <w:rPr>
          <w:szCs w:val="18"/>
          <w:lang w:val="es-MX"/>
        </w:rPr>
        <w:t xml:space="preserve">  gasolinas  en  la  región  fronteriza  con  los  Estados  Unidos  de  América, correspondientes al periodo que se especifica.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LA FUNCION PUBLICA</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w:t>
      </w:r>
      <w:r w:rsidRPr="00F60F71">
        <w:rPr>
          <w:szCs w:val="18"/>
          <w:lang w:val="es-MX"/>
        </w:rPr>
        <w:t xml:space="preserve"> </w:t>
      </w:r>
      <w:r w:rsidRPr="00F60F71">
        <w:rPr>
          <w:szCs w:val="18"/>
          <w:lang w:val="es-MX"/>
        </w:rPr>
        <w:t xml:space="preserve">contratos con la empresa AM Querétaro, S.A. de C.V.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SALUD</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lastRenderedPageBreak/>
        <w:t>Convenio Específico de Colaboración en materia de transferencia de recursos presupuestarios federales con el carácter de subsidios provenientes del Programa Nacional de Reconstrucción, para acciones de rehabilitación y reconstrucción de infraestructura y equipamiento de salud, que</w:t>
      </w:r>
      <w:r w:rsidRPr="00F60F71">
        <w:rPr>
          <w:szCs w:val="18"/>
          <w:lang w:val="es-MX"/>
        </w:rPr>
        <w:t xml:space="preserve"> </w:t>
      </w:r>
      <w:r w:rsidRPr="00F60F71">
        <w:rPr>
          <w:szCs w:val="18"/>
          <w:lang w:val="es-MX"/>
        </w:rPr>
        <w:t xml:space="preserve">celebran la Secretaría de Salud y el Estado de Morelos.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Convenio Específico de Colaboración en materia de transferencia de recursos presupuestarios federales con el carácter de subsidios provenientes del Programa Nacional de Reconstrucción, para acciones de rehabilitación y reconstrucción de infraestructura y equipamiento de salud, que</w:t>
      </w:r>
      <w:r w:rsidRPr="00F60F71">
        <w:rPr>
          <w:szCs w:val="18"/>
          <w:lang w:val="es-MX"/>
        </w:rPr>
        <w:t xml:space="preserve"> </w:t>
      </w:r>
      <w:r w:rsidRPr="00F60F71">
        <w:rPr>
          <w:szCs w:val="18"/>
          <w:lang w:val="es-MX"/>
        </w:rPr>
        <w:t xml:space="preserve">celebran la Secretaría de Salud y el Estado de Oaxaca.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INSTITUTO NACIONAL DE LOS PUEBLOS INDIGENAS</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Calakmul</w:t>
      </w:r>
      <w:proofErr w:type="spellEnd"/>
      <w:r w:rsidRPr="00F60F71">
        <w:rPr>
          <w:szCs w:val="18"/>
          <w:lang w:val="es-MX"/>
        </w:rPr>
        <w:t xml:space="preserve">, Estado de Campeche.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Tenabo</w:t>
      </w:r>
      <w:proofErr w:type="spellEnd"/>
      <w:r w:rsidRPr="00F60F71">
        <w:rPr>
          <w:szCs w:val="18"/>
          <w:lang w:val="es-MX"/>
        </w:rPr>
        <w:t xml:space="preserve">, Estado de Campeche.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Bochil</w:t>
      </w:r>
      <w:proofErr w:type="spellEnd"/>
      <w:r w:rsidRPr="00F60F71">
        <w:rPr>
          <w:szCs w:val="18"/>
          <w:lang w:val="es-MX"/>
        </w:rPr>
        <w:t xml:space="preserve">, Estado de Chiapas.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Cintalapa, Estado de Chiapas.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Copainalá</w:t>
      </w:r>
      <w:proofErr w:type="spellEnd"/>
      <w:r w:rsidRPr="00F60F71">
        <w:rPr>
          <w:szCs w:val="18"/>
          <w:lang w:val="es-MX"/>
        </w:rPr>
        <w:t xml:space="preserve">, Estado de Chiapas.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Ixtapangajoya</w:t>
      </w:r>
      <w:proofErr w:type="spellEnd"/>
      <w:r w:rsidRPr="00F60F71">
        <w:rPr>
          <w:szCs w:val="18"/>
          <w:lang w:val="es-MX"/>
        </w:rPr>
        <w:t xml:space="preserve">, Estado de Chiapas. </w:t>
      </w:r>
    </w:p>
    <w:p w:rsidR="00F60F71" w:rsidRPr="00F60F71" w:rsidRDefault="00F60F71" w:rsidP="00F60F71">
      <w:pPr>
        <w:pStyle w:val="sum"/>
        <w:spacing w:line="326" w:lineRule="exact"/>
        <w:ind w:right="620"/>
        <w:rPr>
          <w:szCs w:val="18"/>
          <w:lang w:val="es-MX"/>
        </w:rPr>
      </w:pPr>
      <w:r w:rsidRPr="00F60F71">
        <w:rPr>
          <w:szCs w:val="18"/>
          <w:lang w:val="es-MX"/>
        </w:rPr>
        <w:t xml:space="preserve"> </w:t>
      </w: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Jiquipilas</w:t>
      </w:r>
      <w:proofErr w:type="spellEnd"/>
      <w:r w:rsidRPr="00F60F71">
        <w:rPr>
          <w:szCs w:val="18"/>
          <w:lang w:val="es-MX"/>
        </w:rPr>
        <w:t xml:space="preserve">, Estado de Chiapas.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proofErr w:type="gramStart"/>
      <w:r w:rsidRPr="00F60F71">
        <w:rPr>
          <w:szCs w:val="18"/>
          <w:lang w:val="es-MX"/>
        </w:rPr>
        <w:t>Convenio  de</w:t>
      </w:r>
      <w:proofErr w:type="gramEnd"/>
      <w:r w:rsidRPr="00F60F71">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F60F71">
        <w:rPr>
          <w:szCs w:val="18"/>
          <w:lang w:val="es-MX"/>
        </w:rPr>
        <w:t>Larráinzar</w:t>
      </w:r>
      <w:proofErr w:type="spellEnd"/>
      <w:r w:rsidRPr="00F60F71">
        <w:rPr>
          <w:szCs w:val="18"/>
          <w:lang w:val="es-MX"/>
        </w:rPr>
        <w:t xml:space="preserve">, Estado de Chiapas. </w:t>
      </w:r>
    </w:p>
    <w:p w:rsidR="00F60F71" w:rsidRPr="00F60F71" w:rsidRDefault="00F60F71" w:rsidP="00F60F71">
      <w:pPr>
        <w:pStyle w:val="sum"/>
        <w:spacing w:line="326" w:lineRule="exact"/>
        <w:ind w:right="620"/>
        <w:rPr>
          <w:szCs w:val="18"/>
          <w:lang w:val="es-MX"/>
        </w:rPr>
      </w:pPr>
    </w:p>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r w:rsidRPr="00F60F71">
        <w:rPr>
          <w:rFonts w:ascii="Times New Roman" w:eastAsia="Times New Roman" w:hAnsi="Times New Roman" w:cs="Times New Roman"/>
          <w:b/>
          <w:bCs/>
          <w:sz w:val="20"/>
          <w:szCs w:val="20"/>
          <w:lang w:eastAsia="es-MX"/>
        </w:rPr>
        <w:t>PODER JUDICIAL</w:t>
      </w: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CONSEJO DE LA JUDICATURA FEDERAL</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Información relativa a los saldos y productos financieros del Fondo para la administración de los recursos   provenientes   de   sentencias   que  deriven   de   las   Acciones  Colectivas   Difusas, que se proporciona en cumplimiento de la obligación establecida en el artículo 34 del Acuerdo General del Pleno del Consejo de la Judicatura Federal, que reforma el similar que crea el Fondo para la administración de los recursos provenientes de sentencias que deriven de las Acciones  Colectivas  Difusas,  a  que  se  refiere  el  artículo  624  del  Código  Federal  de</w:t>
      </w:r>
      <w:r w:rsidRPr="00F60F71">
        <w:rPr>
          <w:szCs w:val="18"/>
          <w:lang w:val="es-MX"/>
        </w:rPr>
        <w:t xml:space="preserve"> </w:t>
      </w:r>
      <w:r w:rsidRPr="00F60F71">
        <w:rPr>
          <w:szCs w:val="18"/>
          <w:lang w:val="es-MX"/>
        </w:rPr>
        <w:t xml:space="preserve">Procedimientos Civiles.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Información relativa a los saldos y productos financieros del Fondo de Apoyo a la Administración de Justicia, que se proporciona en cumplimiento de la obligación establecida en el artículo 911 </w:t>
      </w:r>
      <w:proofErr w:type="gramStart"/>
      <w:r w:rsidRPr="00F60F71">
        <w:rPr>
          <w:szCs w:val="18"/>
          <w:lang w:val="es-MX"/>
        </w:rPr>
        <w:t>del  Acuerdo</w:t>
      </w:r>
      <w:proofErr w:type="gramEnd"/>
      <w:r w:rsidRPr="00F60F71">
        <w:rPr>
          <w:szCs w:val="18"/>
          <w:lang w:val="es-MX"/>
        </w:rPr>
        <w:t xml:space="preserve">  General  del  Pleno  del  Consejo  de  la  Judicatura  Federal,  que  establece  las</w:t>
      </w:r>
      <w:r w:rsidRPr="00F60F71">
        <w:rPr>
          <w:szCs w:val="18"/>
          <w:lang w:val="es-MX"/>
        </w:rPr>
        <w:t xml:space="preserve"> </w:t>
      </w:r>
      <w:r w:rsidRPr="00F60F71">
        <w:rPr>
          <w:szCs w:val="18"/>
          <w:lang w:val="es-MX"/>
        </w:rPr>
        <w:t xml:space="preserve">disposiciones en materia de actividad administrativa del propio Consejo.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BANCO DE MEXICO</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Tipo de cambio para solventar obligaciones denominadas en moneda extranjera pagaderas en la</w:t>
      </w:r>
      <w:r w:rsidRPr="00F60F71">
        <w:rPr>
          <w:szCs w:val="18"/>
          <w:lang w:val="es-MX"/>
        </w:rPr>
        <w:t xml:space="preserve"> </w:t>
      </w:r>
      <w:r w:rsidRPr="00F60F71">
        <w:rPr>
          <w:szCs w:val="18"/>
          <w:lang w:val="es-MX"/>
        </w:rPr>
        <w:t xml:space="preserve">República Mexicana.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Tasas de interés interbancarias de equilibrio. </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AVISOS</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Judiciales y generales. </w:t>
      </w:r>
    </w:p>
    <w:p w:rsidR="00F60F71" w:rsidRPr="00F60F71" w:rsidRDefault="00F60F71" w:rsidP="00F60F71">
      <w:pPr>
        <w:pStyle w:val="sum"/>
        <w:spacing w:line="326" w:lineRule="exact"/>
        <w:ind w:right="620"/>
        <w:rPr>
          <w:szCs w:val="18"/>
          <w:lang w:val="es-MX"/>
        </w:rPr>
      </w:pPr>
    </w:p>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r w:rsidRPr="00F60F71">
        <w:rPr>
          <w:rFonts w:ascii="Times New Roman" w:eastAsia="Times New Roman" w:hAnsi="Times New Roman" w:cs="Times New Roman"/>
          <w:b/>
          <w:bCs/>
          <w:sz w:val="20"/>
          <w:szCs w:val="20"/>
          <w:lang w:eastAsia="es-MX"/>
        </w:rPr>
        <w:t>SEGUNDA SECCION</w:t>
      </w:r>
    </w:p>
    <w:p w:rsidR="00F60F71" w:rsidRPr="00F60F71" w:rsidRDefault="00F60F71" w:rsidP="00F60F71">
      <w:pPr>
        <w:spacing w:after="0" w:line="326" w:lineRule="exact"/>
        <w:ind w:right="620"/>
        <w:jc w:val="center"/>
        <w:outlineLvl w:val="0"/>
        <w:rPr>
          <w:rFonts w:ascii="Times New Roman" w:eastAsia="Times New Roman" w:hAnsi="Times New Roman" w:cs="Times New Roman"/>
          <w:b/>
          <w:bCs/>
          <w:sz w:val="20"/>
          <w:szCs w:val="20"/>
          <w:lang w:eastAsia="es-MX"/>
        </w:rPr>
      </w:pPr>
      <w:r w:rsidRPr="00F60F71">
        <w:rPr>
          <w:rFonts w:ascii="Times New Roman" w:eastAsia="Times New Roman" w:hAnsi="Times New Roman" w:cs="Times New Roman"/>
          <w:b/>
          <w:bCs/>
          <w:sz w:val="20"/>
          <w:szCs w:val="20"/>
          <w:lang w:eastAsia="es-MX"/>
        </w:rPr>
        <w:t>PODER EJECUTIVO</w:t>
      </w:r>
    </w:p>
    <w:p w:rsidR="00F60F71" w:rsidRDefault="00F60F71" w:rsidP="00F60F71">
      <w:pPr>
        <w:pStyle w:val="sum"/>
        <w:spacing w:line="326" w:lineRule="exact"/>
        <w:ind w:right="620"/>
      </w:pPr>
    </w:p>
    <w:p w:rsidR="00F60F71" w:rsidRPr="00F60F71" w:rsidRDefault="00F60F71" w:rsidP="00F60F71">
      <w:pPr>
        <w:pStyle w:val="sum"/>
        <w:spacing w:line="326" w:lineRule="exact"/>
        <w:ind w:right="620"/>
        <w:rPr>
          <w:rFonts w:ascii="Times New Roman" w:hAnsi="Times New Roman" w:cs="Times New Roman"/>
          <w:b/>
          <w:sz w:val="20"/>
          <w:u w:val="single"/>
          <w:lang w:val="es-MX"/>
        </w:rPr>
      </w:pPr>
      <w:r w:rsidRPr="00F60F71">
        <w:rPr>
          <w:rFonts w:ascii="Times New Roman" w:hAnsi="Times New Roman" w:cs="Times New Roman"/>
          <w:b/>
          <w:sz w:val="20"/>
          <w:u w:val="single"/>
          <w:lang w:val="es-MX"/>
        </w:rPr>
        <w:t>SECRETARIA DE HACIENDA Y CREDITO PUBLICO</w:t>
      </w:r>
    </w:p>
    <w:p w:rsidR="00F60F71" w:rsidRPr="00F60F71" w:rsidRDefault="00F60F71" w:rsidP="00F60F71">
      <w:pPr>
        <w:pStyle w:val="sum"/>
        <w:spacing w:line="326" w:lineRule="exact"/>
        <w:ind w:right="620"/>
        <w:rPr>
          <w:szCs w:val="18"/>
          <w:lang w:val="es-MX"/>
        </w:rPr>
      </w:pPr>
    </w:p>
    <w:p w:rsidR="00F60F71" w:rsidRPr="00F60F71" w:rsidRDefault="00F60F71" w:rsidP="00F60F71">
      <w:pPr>
        <w:pStyle w:val="sum"/>
        <w:spacing w:line="326" w:lineRule="exact"/>
        <w:ind w:right="620"/>
        <w:rPr>
          <w:szCs w:val="18"/>
          <w:lang w:val="es-MX"/>
        </w:rPr>
      </w:pPr>
      <w:r w:rsidRPr="00F60F71">
        <w:rPr>
          <w:szCs w:val="18"/>
          <w:lang w:val="es-MX"/>
        </w:rPr>
        <w:t xml:space="preserve">Anexos 23, 25, 25-Bis y 27 de la Resolución Miscelánea Fiscal para 2020, publicada el 28 de diciembre de 2019. </w:t>
      </w:r>
      <w:bookmarkEnd w:id="0"/>
    </w:p>
    <w:sectPr w:rsidR="00F60F71" w:rsidRPr="00F60F7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9C" w:rsidRDefault="00E97F9C" w:rsidP="00F60F71">
      <w:pPr>
        <w:spacing w:after="0" w:line="240" w:lineRule="auto"/>
      </w:pPr>
      <w:r>
        <w:separator/>
      </w:r>
    </w:p>
  </w:endnote>
  <w:endnote w:type="continuationSeparator" w:id="0">
    <w:p w:rsidR="00E97F9C" w:rsidRDefault="00E97F9C" w:rsidP="00F6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9C" w:rsidRDefault="00E97F9C" w:rsidP="00F60F71">
      <w:pPr>
        <w:spacing w:after="0" w:line="240" w:lineRule="auto"/>
      </w:pPr>
      <w:r>
        <w:separator/>
      </w:r>
    </w:p>
  </w:footnote>
  <w:footnote w:type="continuationSeparator" w:id="0">
    <w:p w:rsidR="00E97F9C" w:rsidRDefault="00E97F9C" w:rsidP="00F6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71" w:rsidRPr="00F60F71" w:rsidRDefault="00F60F71" w:rsidP="00F60F71">
    <w:pPr>
      <w:pStyle w:val="Fechas"/>
      <w:pBdr>
        <w:bottom w:val="double" w:sz="6" w:space="0" w:color="auto"/>
      </w:pBdr>
      <w:rPr>
        <w:rFonts w:cs="Times New Roman"/>
      </w:rPr>
    </w:pPr>
    <w:r>
      <w:t>Viernes 17 de enero  de 2020</w:t>
    </w:r>
    <w:r w:rsidRPr="00ED705D">
      <w:rPr>
        <w:rFonts w:cs="Times New Roman"/>
      </w:rPr>
      <w:tab/>
      <w:t>DIARIO OFICIAL</w:t>
    </w:r>
    <w:r w:rsidRPr="00ED705D">
      <w:rPr>
        <w:rFonts w:cs="Times New Roman"/>
      </w:rPr>
      <w:tab/>
    </w:r>
    <w:r>
      <w:t xml:space="preserve">(Segunda Sección)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1"/>
    <w:rsid w:val="005470EE"/>
    <w:rsid w:val="00E97F9C"/>
    <w:rsid w:val="00F60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DDCF"/>
  <w15:chartTrackingRefBased/>
  <w15:docId w15:val="{C084BEB9-1DB1-4165-B162-AAF369DF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m">
    <w:name w:val="sum"/>
    <w:basedOn w:val="Normal"/>
    <w:link w:val="sumCar"/>
    <w:rsid w:val="00F60F71"/>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F60F71"/>
    <w:rPr>
      <w:rFonts w:ascii="Arial" w:eastAsia="Times New Roman" w:hAnsi="Arial" w:cs="Arial"/>
      <w:sz w:val="18"/>
      <w:szCs w:val="20"/>
      <w:lang w:val="es-ES_tradnl" w:eastAsia="es-ES"/>
    </w:rPr>
  </w:style>
  <w:style w:type="paragraph" w:styleId="Encabezado">
    <w:name w:val="header"/>
    <w:basedOn w:val="Normal"/>
    <w:link w:val="EncabezadoCar"/>
    <w:uiPriority w:val="99"/>
    <w:unhideWhenUsed/>
    <w:rsid w:val="00F60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F71"/>
  </w:style>
  <w:style w:type="paragraph" w:styleId="Piedepgina">
    <w:name w:val="footer"/>
    <w:basedOn w:val="Normal"/>
    <w:link w:val="PiedepginaCar"/>
    <w:uiPriority w:val="99"/>
    <w:unhideWhenUsed/>
    <w:rsid w:val="00F60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F71"/>
  </w:style>
  <w:style w:type="paragraph" w:customStyle="1" w:styleId="Fechas">
    <w:name w:val="Fechas"/>
    <w:basedOn w:val="Normal"/>
    <w:rsid w:val="00F60F71"/>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styleId="Textodeglobo">
    <w:name w:val="Balloon Text"/>
    <w:basedOn w:val="Normal"/>
    <w:link w:val="TextodegloboCar"/>
    <w:uiPriority w:val="99"/>
    <w:semiHidden/>
    <w:unhideWhenUsed/>
    <w:rsid w:val="00F60F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1243</Words>
  <Characters>6839</Characters>
  <Application>Microsoft Office Word</Application>
  <DocSecurity>0</DocSecurity>
  <Lines>56</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2020-01-20T20:05:00Z</cp:lastPrinted>
  <dcterms:created xsi:type="dcterms:W3CDTF">2020-01-20T19:54:00Z</dcterms:created>
  <dcterms:modified xsi:type="dcterms:W3CDTF">2020-01-20T20:15:00Z</dcterms:modified>
</cp:coreProperties>
</file>