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362" w:rsidRPr="00EF104D" w:rsidRDefault="00526362" w:rsidP="00EF104D">
      <w:pPr>
        <w:spacing w:after="0" w:line="326" w:lineRule="exact"/>
        <w:ind w:right="620"/>
        <w:jc w:val="center"/>
        <w:outlineLvl w:val="0"/>
        <w:rPr>
          <w:rFonts w:ascii="Times New Roman" w:eastAsia="Times New Roman" w:hAnsi="Times New Roman" w:cs="Times New Roman"/>
          <w:b/>
          <w:bCs/>
          <w:sz w:val="20"/>
          <w:szCs w:val="20"/>
          <w:lang w:eastAsia="es-MX"/>
        </w:rPr>
      </w:pPr>
      <w:bookmarkStart w:id="0" w:name="_GoBack"/>
      <w:bookmarkEnd w:id="0"/>
      <w:r w:rsidRPr="00EF104D">
        <w:rPr>
          <w:rFonts w:ascii="Times New Roman" w:eastAsia="Times New Roman" w:hAnsi="Times New Roman" w:cs="Times New Roman"/>
          <w:b/>
          <w:bCs/>
          <w:sz w:val="20"/>
          <w:szCs w:val="20"/>
          <w:lang w:eastAsia="es-MX"/>
        </w:rPr>
        <w:t>INDICE</w:t>
      </w:r>
    </w:p>
    <w:p w:rsidR="00526362" w:rsidRDefault="00526362" w:rsidP="00EF104D">
      <w:pPr>
        <w:pStyle w:val="sum"/>
        <w:spacing w:line="326" w:lineRule="exact"/>
        <w:ind w:right="620"/>
      </w:pPr>
    </w:p>
    <w:p w:rsidR="00526362" w:rsidRPr="00EF104D" w:rsidRDefault="00526362" w:rsidP="00EF104D">
      <w:pPr>
        <w:spacing w:after="0" w:line="326" w:lineRule="exact"/>
        <w:ind w:right="620"/>
        <w:jc w:val="center"/>
        <w:outlineLvl w:val="0"/>
        <w:rPr>
          <w:rFonts w:ascii="Times New Roman" w:eastAsia="Times New Roman" w:hAnsi="Times New Roman" w:cs="Times New Roman"/>
          <w:b/>
          <w:bCs/>
          <w:sz w:val="20"/>
          <w:szCs w:val="20"/>
          <w:lang w:eastAsia="es-MX"/>
        </w:rPr>
      </w:pPr>
      <w:r w:rsidRPr="00EF104D">
        <w:rPr>
          <w:rFonts w:ascii="Times New Roman" w:eastAsia="Times New Roman" w:hAnsi="Times New Roman" w:cs="Times New Roman"/>
          <w:b/>
          <w:bCs/>
          <w:sz w:val="20"/>
          <w:szCs w:val="20"/>
          <w:lang w:eastAsia="es-MX"/>
        </w:rPr>
        <w:t>PODER EJECUTIVO</w:t>
      </w:r>
    </w:p>
    <w:p w:rsidR="00526362" w:rsidRDefault="00526362" w:rsidP="00EF104D">
      <w:pPr>
        <w:pStyle w:val="sum"/>
        <w:spacing w:line="326" w:lineRule="exact"/>
        <w:ind w:right="620"/>
      </w:pPr>
    </w:p>
    <w:p w:rsidR="00526362" w:rsidRPr="00EF104D" w:rsidRDefault="00526362" w:rsidP="00EF104D">
      <w:pPr>
        <w:pStyle w:val="sum"/>
        <w:spacing w:line="326" w:lineRule="exact"/>
        <w:ind w:right="620"/>
        <w:rPr>
          <w:rFonts w:ascii="Times New Roman" w:hAnsi="Times New Roman" w:cs="Times New Roman"/>
          <w:b/>
          <w:sz w:val="20"/>
          <w:u w:val="single"/>
          <w:lang w:val="es-MX"/>
        </w:rPr>
      </w:pPr>
      <w:r w:rsidRPr="00EF104D">
        <w:rPr>
          <w:rFonts w:ascii="Times New Roman" w:hAnsi="Times New Roman" w:cs="Times New Roman"/>
          <w:b/>
          <w:sz w:val="20"/>
          <w:u w:val="single"/>
          <w:lang w:val="es-MX"/>
        </w:rPr>
        <w:t>SECRETARIA DE ECONOMIA</w:t>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Resolución por la que se otorga licencia temporal para separarse del ejercicio de sus funciones a la ciudadana Brenda Josefina Treviño González, como Corredor Público número 34 de la Plaza</w:t>
      </w:r>
      <w:r w:rsidR="005A7179">
        <w:rPr>
          <w:szCs w:val="18"/>
          <w:lang w:val="es-MX"/>
        </w:rPr>
        <w:t xml:space="preserve"> </w:t>
      </w:r>
      <w:r w:rsidRPr="00EF104D">
        <w:rPr>
          <w:szCs w:val="18"/>
          <w:lang w:val="es-MX"/>
        </w:rPr>
        <w:t xml:space="preserve">de Nuevo León.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rFonts w:ascii="Times New Roman" w:hAnsi="Times New Roman" w:cs="Times New Roman"/>
          <w:b/>
          <w:sz w:val="20"/>
          <w:u w:val="single"/>
          <w:lang w:val="es-MX"/>
        </w:rPr>
      </w:pPr>
      <w:r w:rsidRPr="00EF104D">
        <w:rPr>
          <w:rFonts w:ascii="Times New Roman" w:hAnsi="Times New Roman" w:cs="Times New Roman"/>
          <w:b/>
          <w:sz w:val="20"/>
          <w:u w:val="single"/>
          <w:lang w:val="es-MX"/>
        </w:rPr>
        <w:t>SECRETARIA DE AGRICULTURA Y DESARROLLO RURAL</w:t>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proofErr w:type="gramStart"/>
      <w:r w:rsidRPr="00EF104D">
        <w:rPr>
          <w:szCs w:val="18"/>
          <w:lang w:val="es-MX"/>
        </w:rPr>
        <w:t>Anexo  Técnico</w:t>
      </w:r>
      <w:proofErr w:type="gramEnd"/>
      <w:r w:rsidRPr="00EF104D">
        <w:rPr>
          <w:szCs w:val="18"/>
          <w:lang w:val="es-MX"/>
        </w:rPr>
        <w:t xml:space="preserve">  de  Ejecución  para  la  operación  del  Programa  de  Sanidad  e  Inocuidad Agroalimentaria para el ejercicio presupuestal 2019, que celebran la Secretaría de Agricultura y Desarrollo Rural y el Estado de San Luis Potosí.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Segundo Convenio Modificatorio al Anexo Técnico de Ejecución para la operación del Programa de Concurrencia con las Entidades Federativas para el ejercicio presupuestal 2019, que celebran</w:t>
      </w:r>
      <w:r w:rsidR="005A7179">
        <w:rPr>
          <w:szCs w:val="18"/>
          <w:lang w:val="es-MX"/>
        </w:rPr>
        <w:t xml:space="preserve"> </w:t>
      </w:r>
      <w:r w:rsidRPr="00EF104D">
        <w:rPr>
          <w:szCs w:val="18"/>
          <w:lang w:val="es-MX"/>
        </w:rPr>
        <w:t xml:space="preserve">la Secretaría de Agricultura y Desarrollo Rural y el Estado de Tamaulipas.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rFonts w:ascii="Times New Roman" w:hAnsi="Times New Roman" w:cs="Times New Roman"/>
          <w:b/>
          <w:sz w:val="20"/>
          <w:u w:val="single"/>
          <w:lang w:val="es-MX"/>
        </w:rPr>
      </w:pPr>
      <w:r w:rsidRPr="00EF104D">
        <w:rPr>
          <w:rFonts w:ascii="Times New Roman" w:hAnsi="Times New Roman" w:cs="Times New Roman"/>
          <w:b/>
          <w:sz w:val="20"/>
          <w:u w:val="single"/>
          <w:lang w:val="es-MX"/>
        </w:rPr>
        <w:t>SECRETARIA DE COMUNICACIONES Y TRANSPORTES</w:t>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Proyecto   de   Norma   Oficial   Mexicana   PROY-NOM-004-ARTF-</w:t>
      </w:r>
      <w:proofErr w:type="gramStart"/>
      <w:r w:rsidRPr="00EF104D">
        <w:rPr>
          <w:szCs w:val="18"/>
          <w:lang w:val="es-MX"/>
        </w:rPr>
        <w:t xml:space="preserve">2019,   </w:t>
      </w:r>
      <w:proofErr w:type="gramEnd"/>
      <w:r w:rsidRPr="00EF104D">
        <w:rPr>
          <w:szCs w:val="18"/>
          <w:lang w:val="es-MX"/>
        </w:rPr>
        <w:t xml:space="preserve">Sistema   Ferroviario- Seguridad-Notificación de Siniestros-Metodología.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rFonts w:ascii="Times New Roman" w:hAnsi="Times New Roman" w:cs="Times New Roman"/>
          <w:b/>
          <w:sz w:val="20"/>
          <w:u w:val="single"/>
          <w:lang w:val="es-MX"/>
        </w:rPr>
      </w:pPr>
      <w:r w:rsidRPr="00EF104D">
        <w:rPr>
          <w:rFonts w:ascii="Times New Roman" w:hAnsi="Times New Roman" w:cs="Times New Roman"/>
          <w:b/>
          <w:sz w:val="20"/>
          <w:u w:val="single"/>
          <w:lang w:val="es-MX"/>
        </w:rPr>
        <w:t>SECRETARIA DE SALUD</w:t>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Aviso por el que se da a conocer el monto correspondiente a cada entidad federativa del Fondo de Aportaciones Múltiples en su componente de Asistencia Social para el ejercicio fiscal 2020, así como la fórmula utilizada para la distribución de los recursos, las variables empleadas y la fuente</w:t>
      </w:r>
      <w:r w:rsidR="005A7179">
        <w:rPr>
          <w:szCs w:val="18"/>
          <w:lang w:val="es-MX"/>
        </w:rPr>
        <w:t xml:space="preserve"> </w:t>
      </w:r>
      <w:r w:rsidRPr="00EF104D">
        <w:rPr>
          <w:szCs w:val="18"/>
          <w:lang w:val="es-MX"/>
        </w:rPr>
        <w:t xml:space="preserve">de información de las mismas.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proofErr w:type="gramStart"/>
      <w:r w:rsidRPr="00EF104D">
        <w:rPr>
          <w:szCs w:val="18"/>
          <w:lang w:val="es-MX"/>
        </w:rPr>
        <w:t>Convenio  Específico</w:t>
      </w:r>
      <w:proofErr w:type="gramEnd"/>
      <w:r w:rsidRPr="00EF104D">
        <w:rPr>
          <w:szCs w:val="18"/>
          <w:lang w:val="es-MX"/>
        </w:rPr>
        <w:t xml:space="preserve">  en  materia  de  transferencia  de  recursos  federales  con  el  carácter  de subsidios  para  fortalecer  la  ejecución  y  desarrollo  del  programa  y  proyectos  federales  de Protección contra Riesgos Sanitarios, así como la Red Nacional de Laboratorios, que celebran la Secretaría de Salud y el Estado de Chiapas.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5A7179">
      <w:pPr>
        <w:pStyle w:val="sum"/>
        <w:spacing w:line="326" w:lineRule="exact"/>
        <w:ind w:right="620"/>
        <w:rPr>
          <w:szCs w:val="18"/>
          <w:lang w:val="es-MX"/>
        </w:rPr>
      </w:pPr>
      <w:proofErr w:type="gramStart"/>
      <w:r w:rsidRPr="00EF104D">
        <w:rPr>
          <w:szCs w:val="18"/>
          <w:lang w:val="es-MX"/>
        </w:rPr>
        <w:t>Convenio  Específico</w:t>
      </w:r>
      <w:proofErr w:type="gramEnd"/>
      <w:r w:rsidRPr="00EF104D">
        <w:rPr>
          <w:szCs w:val="18"/>
          <w:lang w:val="es-MX"/>
        </w:rPr>
        <w:t xml:space="preserve">  en  materia  de  transferencia  de  recursos  federales  con  el  carácter  de subsidios  para  fortalecer  la  ejecución  y  desarrollo  del  programa  y  proyectos  federales  de </w:t>
      </w:r>
      <w:r w:rsidRPr="00EF104D">
        <w:rPr>
          <w:szCs w:val="18"/>
          <w:lang w:val="es-MX"/>
        </w:rPr>
        <w:lastRenderedPageBreak/>
        <w:t xml:space="preserve">Protección contra Riesgos Sanitarios, así como la Red Nacional de Laboratorios, que celebran la Secretaría de Salud y la Ciudad de México.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proofErr w:type="gramStart"/>
      <w:r w:rsidRPr="00EF104D">
        <w:rPr>
          <w:szCs w:val="18"/>
          <w:lang w:val="es-MX"/>
        </w:rPr>
        <w:t>Convenio  Específico</w:t>
      </w:r>
      <w:proofErr w:type="gramEnd"/>
      <w:r w:rsidRPr="00EF104D">
        <w:rPr>
          <w:szCs w:val="18"/>
          <w:lang w:val="es-MX"/>
        </w:rPr>
        <w:t xml:space="preserve">  en  materia  de  transferencia  de  recursos  federales  con  el  carácter  de subsidios  para  fortalecer  la  ejecución  y  desarrollo  del  programa  y  proyectos  federales  de Protección contra Riesgos Sanitarios, así como la Red Nacional de Laboratorios, que celebran la Secretaría de Salud y el Estado de Coahuila de Zaragoza.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rFonts w:ascii="Times New Roman" w:hAnsi="Times New Roman" w:cs="Times New Roman"/>
          <w:b/>
          <w:sz w:val="20"/>
          <w:u w:val="single"/>
          <w:lang w:val="es-MX"/>
        </w:rPr>
      </w:pPr>
      <w:r w:rsidRPr="00EF104D">
        <w:rPr>
          <w:rFonts w:ascii="Times New Roman" w:hAnsi="Times New Roman" w:cs="Times New Roman"/>
          <w:b/>
          <w:sz w:val="20"/>
          <w:u w:val="single"/>
          <w:lang w:val="es-MX"/>
        </w:rPr>
        <w:t>SECRETARIA DE DESARROLLO AGRARIO, TERRITORIAL Y URBANO</w:t>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proofErr w:type="gramStart"/>
      <w:r w:rsidRPr="00EF104D">
        <w:rPr>
          <w:szCs w:val="18"/>
          <w:lang w:val="es-MX"/>
        </w:rPr>
        <w:t>Aviso  de</w:t>
      </w:r>
      <w:proofErr w:type="gramEnd"/>
      <w:r w:rsidRPr="00EF104D">
        <w:rPr>
          <w:szCs w:val="18"/>
          <w:lang w:val="es-MX"/>
        </w:rPr>
        <w:t xml:space="preserve">  medición  y  deslinde  del  predio  de  presunta  propiedad  nacional  denominado</w:t>
      </w:r>
      <w:r w:rsidR="005A7179">
        <w:rPr>
          <w:szCs w:val="18"/>
          <w:lang w:val="es-MX"/>
        </w:rPr>
        <w:t xml:space="preserve"> </w:t>
      </w:r>
      <w:r w:rsidRPr="00EF104D">
        <w:rPr>
          <w:szCs w:val="18"/>
          <w:lang w:val="es-MX"/>
        </w:rPr>
        <w:t>La   Marimba,   con   una   superficie   aproximada   de   11-46-36.037   hectáreas,   ubicado   en</w:t>
      </w:r>
      <w:r w:rsidR="005A7179">
        <w:rPr>
          <w:szCs w:val="18"/>
          <w:lang w:val="es-MX"/>
        </w:rPr>
        <w:t xml:space="preserve"> </w:t>
      </w:r>
      <w:r w:rsidRPr="00EF104D">
        <w:rPr>
          <w:szCs w:val="18"/>
          <w:lang w:val="es-MX"/>
        </w:rPr>
        <w:t xml:space="preserve">Villa Corzo, Chis.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Aviso de medición y deslinde del predio de presunta propiedad nacional denominado San José,</w:t>
      </w:r>
      <w:r w:rsidR="005A7179">
        <w:rPr>
          <w:szCs w:val="18"/>
          <w:lang w:val="es-MX"/>
        </w:rPr>
        <w:t xml:space="preserve"> </w:t>
      </w:r>
      <w:r w:rsidRPr="00EF104D">
        <w:rPr>
          <w:szCs w:val="18"/>
          <w:lang w:val="es-MX"/>
        </w:rPr>
        <w:t xml:space="preserve">con una superficie aproximada de 77-06-10.652 hectáreas, ubicado en Villa Corzo, Chis.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Aviso de medición y deslinde del predio de presunta propiedad nacional denominado Los Cuatro</w:t>
      </w:r>
      <w:r w:rsidR="005A7179">
        <w:rPr>
          <w:szCs w:val="18"/>
          <w:lang w:val="es-MX"/>
        </w:rPr>
        <w:t xml:space="preserve"> </w:t>
      </w:r>
      <w:proofErr w:type="gramStart"/>
      <w:r w:rsidRPr="00EF104D">
        <w:rPr>
          <w:szCs w:val="18"/>
          <w:lang w:val="es-MX"/>
        </w:rPr>
        <w:t>Hermanos,  con</w:t>
      </w:r>
      <w:proofErr w:type="gramEnd"/>
      <w:r w:rsidRPr="00EF104D">
        <w:rPr>
          <w:szCs w:val="18"/>
          <w:lang w:val="es-MX"/>
        </w:rPr>
        <w:t xml:space="preserve">  una  superficie  aproximada  de  9-09-55.635  hectáreas,  ubicado  en  Villa</w:t>
      </w:r>
      <w:r w:rsidR="005A7179">
        <w:rPr>
          <w:szCs w:val="18"/>
          <w:lang w:val="es-MX"/>
        </w:rPr>
        <w:t xml:space="preserve"> </w:t>
      </w:r>
      <w:r w:rsidRPr="00EF104D">
        <w:rPr>
          <w:szCs w:val="18"/>
          <w:lang w:val="es-MX"/>
        </w:rPr>
        <w:t>Corzo, Chis</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rFonts w:ascii="Times New Roman" w:hAnsi="Times New Roman" w:cs="Times New Roman"/>
          <w:b/>
          <w:sz w:val="20"/>
          <w:u w:val="single"/>
          <w:lang w:val="es-MX"/>
        </w:rPr>
      </w:pPr>
      <w:r w:rsidRPr="00EF104D">
        <w:rPr>
          <w:rFonts w:ascii="Times New Roman" w:hAnsi="Times New Roman" w:cs="Times New Roman"/>
          <w:b/>
          <w:sz w:val="20"/>
          <w:u w:val="single"/>
          <w:lang w:val="es-MX"/>
        </w:rPr>
        <w:t>SECRETARIA DE CULTURA</w:t>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 xml:space="preserve">Acuerdo por el que se señalan los días en los que el Instituto Nacional del Derecho de Autor suspenderá el servicio de atención al público en el año 2020.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Acuerdo a través del que se da a conocer la lista de personas autorizadas para fungir como árbitros durante el año 2020, en el procedimiento arbitral regulado en la Ley Federal del Derecho</w:t>
      </w:r>
      <w:r w:rsidR="005A7179">
        <w:rPr>
          <w:szCs w:val="18"/>
          <w:lang w:val="es-MX"/>
        </w:rPr>
        <w:t xml:space="preserve"> </w:t>
      </w:r>
      <w:r w:rsidRPr="00EF104D">
        <w:rPr>
          <w:szCs w:val="18"/>
          <w:lang w:val="es-MX"/>
        </w:rPr>
        <w:t xml:space="preserve">de Autor. </w:t>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Acuerdo a través del que se da a conocer el arancel durante el año 2020, del procedimiento</w:t>
      </w:r>
      <w:r w:rsidR="005A7179">
        <w:rPr>
          <w:szCs w:val="18"/>
          <w:lang w:val="es-MX"/>
        </w:rPr>
        <w:t xml:space="preserve"> </w:t>
      </w:r>
      <w:r w:rsidRPr="00EF104D">
        <w:rPr>
          <w:szCs w:val="18"/>
          <w:lang w:val="es-MX"/>
        </w:rPr>
        <w:t xml:space="preserve">arbitral en materia de derechos de autor.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rFonts w:ascii="Times New Roman" w:hAnsi="Times New Roman" w:cs="Times New Roman"/>
          <w:b/>
          <w:sz w:val="20"/>
          <w:u w:val="single"/>
          <w:lang w:val="es-MX"/>
        </w:rPr>
      </w:pPr>
      <w:r w:rsidRPr="00EF104D">
        <w:rPr>
          <w:rFonts w:ascii="Times New Roman" w:hAnsi="Times New Roman" w:cs="Times New Roman"/>
          <w:b/>
          <w:sz w:val="20"/>
          <w:u w:val="single"/>
          <w:lang w:val="es-MX"/>
        </w:rPr>
        <w:t>INSTITUTO NACIONAL DE LOS PUEBLOS INDIGENAS</w:t>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proofErr w:type="gramStart"/>
      <w:r w:rsidRPr="00EF104D">
        <w:rPr>
          <w:szCs w:val="18"/>
          <w:lang w:val="es-MX"/>
        </w:rPr>
        <w:t>Convenio  de</w:t>
      </w:r>
      <w:proofErr w:type="gramEnd"/>
      <w:r w:rsidRPr="00EF104D">
        <w:rPr>
          <w:szCs w:val="18"/>
          <w:lang w:val="es-MX"/>
        </w:rPr>
        <w:t xml:space="preserve">  Coordinación  y  Concertación  de  Acciones  para  la  ejecución  del  Programa  de Infraestructura  Indígena,  que  celebran  el  Instituto  Nacional  de  los  Pueblos  Indígenas  y  el Municipio de </w:t>
      </w:r>
      <w:proofErr w:type="spellStart"/>
      <w:r w:rsidRPr="00EF104D">
        <w:rPr>
          <w:szCs w:val="18"/>
          <w:lang w:val="es-MX"/>
        </w:rPr>
        <w:t>Huautla</w:t>
      </w:r>
      <w:proofErr w:type="spellEnd"/>
      <w:r w:rsidRPr="00EF104D">
        <w:rPr>
          <w:szCs w:val="18"/>
          <w:lang w:val="es-MX"/>
        </w:rPr>
        <w:t xml:space="preserve"> de Jiménez, Estado de Oaxaca.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5A7179">
      <w:pPr>
        <w:pStyle w:val="sum"/>
        <w:spacing w:line="326" w:lineRule="exact"/>
        <w:ind w:right="620"/>
        <w:rPr>
          <w:szCs w:val="18"/>
          <w:lang w:val="es-MX"/>
        </w:rPr>
      </w:pPr>
      <w:proofErr w:type="gramStart"/>
      <w:r w:rsidRPr="00EF104D">
        <w:rPr>
          <w:szCs w:val="18"/>
          <w:lang w:val="es-MX"/>
        </w:rPr>
        <w:lastRenderedPageBreak/>
        <w:t>Convenio  de</w:t>
      </w:r>
      <w:proofErr w:type="gramEnd"/>
      <w:r w:rsidRPr="00EF104D">
        <w:rPr>
          <w:szCs w:val="18"/>
          <w:lang w:val="es-MX"/>
        </w:rPr>
        <w:t xml:space="preserve">  Coordinación  y  Concertación  de  Acciones  para  la  ejecución  del  Programa  de Infraestructura  Indígena,  que  celebran  el  Instituto  Nacional  de  los  Pueblos  Indígenas  y  el Municipio de Xilitla, Estado de San Luis Potosí.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proofErr w:type="gramStart"/>
      <w:r w:rsidRPr="00EF104D">
        <w:rPr>
          <w:szCs w:val="18"/>
          <w:lang w:val="es-MX"/>
        </w:rPr>
        <w:t>Convenio  de</w:t>
      </w:r>
      <w:proofErr w:type="gramEnd"/>
      <w:r w:rsidRPr="00EF104D">
        <w:rPr>
          <w:szCs w:val="18"/>
          <w:lang w:val="es-MX"/>
        </w:rPr>
        <w:t xml:space="preserve">  Coordinación  y  Concertación  de  Acciones  para  la  ejecución  del  Programa  de Infraestructura  Indígena,  que  celebran  el  Instituto  Nacional  de  los  Pueblos  Indígenas  y  el Municipio de Navojoa, Estado de Sonora.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proofErr w:type="gramStart"/>
      <w:r w:rsidRPr="00EF104D">
        <w:rPr>
          <w:szCs w:val="18"/>
          <w:lang w:val="es-MX"/>
        </w:rPr>
        <w:t>Convenio  de</w:t>
      </w:r>
      <w:proofErr w:type="gramEnd"/>
      <w:r w:rsidRPr="00EF104D">
        <w:rPr>
          <w:szCs w:val="18"/>
          <w:lang w:val="es-MX"/>
        </w:rPr>
        <w:t xml:space="preserve">  Coordinación  y  Concertación  de  Acciones  para  la  ejecución  del  Programa  de Infraestructura  Indígena,  que  celebran  el  Instituto  Nacional  de  los  Pueblos  Indígenas  y  el Municipio de Tacotalpa, Estado de Tabasco.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proofErr w:type="gramStart"/>
      <w:r w:rsidRPr="00EF104D">
        <w:rPr>
          <w:szCs w:val="18"/>
          <w:lang w:val="es-MX"/>
        </w:rPr>
        <w:t>Convenio  de</w:t>
      </w:r>
      <w:proofErr w:type="gramEnd"/>
      <w:r w:rsidRPr="00EF104D">
        <w:rPr>
          <w:szCs w:val="18"/>
          <w:lang w:val="es-MX"/>
        </w:rPr>
        <w:t xml:space="preserve">  Coordinación  y  Concertación  de  Acciones  para  la  ejecución  del  Programa  de Infraestructura  Indígena,  que  celebran  el  Instituto  Nacional  de  los  Pueblos  Indígenas  y  el Municipio de Chumatlán, Estado de Veracruz.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proofErr w:type="gramStart"/>
      <w:r w:rsidRPr="00EF104D">
        <w:rPr>
          <w:szCs w:val="18"/>
          <w:lang w:val="es-MX"/>
        </w:rPr>
        <w:t>Convenio  de</w:t>
      </w:r>
      <w:proofErr w:type="gramEnd"/>
      <w:r w:rsidRPr="00EF104D">
        <w:rPr>
          <w:szCs w:val="18"/>
          <w:lang w:val="es-MX"/>
        </w:rPr>
        <w:t xml:space="preserve">  Coordinación  y  Concertación  de  Acciones  para  la  ejecución  del  Programa  de Infraestructura  Indígena,  que  celebran  el  Instituto  Nacional  de  los  Pueblos  Indígenas  y  el Municipio de </w:t>
      </w:r>
      <w:proofErr w:type="spellStart"/>
      <w:r w:rsidRPr="00EF104D">
        <w:rPr>
          <w:szCs w:val="18"/>
          <w:lang w:val="es-MX"/>
        </w:rPr>
        <w:t>Coatzintla</w:t>
      </w:r>
      <w:proofErr w:type="spellEnd"/>
      <w:r w:rsidRPr="00EF104D">
        <w:rPr>
          <w:szCs w:val="18"/>
          <w:lang w:val="es-MX"/>
        </w:rPr>
        <w:t xml:space="preserve">, Estado de Veracruz.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proofErr w:type="gramStart"/>
      <w:r w:rsidRPr="00EF104D">
        <w:rPr>
          <w:szCs w:val="18"/>
          <w:lang w:val="es-MX"/>
        </w:rPr>
        <w:t>Convenio  de</w:t>
      </w:r>
      <w:proofErr w:type="gramEnd"/>
      <w:r w:rsidRPr="00EF104D">
        <w:rPr>
          <w:szCs w:val="18"/>
          <w:lang w:val="es-MX"/>
        </w:rPr>
        <w:t xml:space="preserve">  Coordinación  y  Concertación  de  Acciones  para  la  ejecución  del  Programa  de Infraestructura  Indígena,  que  celebran  el  Instituto  Nacional  de  los  Pueblos  Indígenas  y  el Municipio de Espinal, Estado de Veracruz.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proofErr w:type="gramStart"/>
      <w:r w:rsidRPr="00EF104D">
        <w:rPr>
          <w:szCs w:val="18"/>
          <w:lang w:val="es-MX"/>
        </w:rPr>
        <w:t>Convenio  de</w:t>
      </w:r>
      <w:proofErr w:type="gramEnd"/>
      <w:r w:rsidRPr="00EF104D">
        <w:rPr>
          <w:szCs w:val="18"/>
          <w:lang w:val="es-MX"/>
        </w:rPr>
        <w:t xml:space="preserve">  Coordinación  y  Concertación  de  Acciones  para  la  ejecución  del  Programa  de Infraestructura  Indígena,  que  celebran  el  Instituto  Nacional  de  los  Pueblos  Indígenas  y  el Municipio de </w:t>
      </w:r>
      <w:proofErr w:type="spellStart"/>
      <w:r w:rsidRPr="00EF104D">
        <w:rPr>
          <w:szCs w:val="18"/>
          <w:lang w:val="es-MX"/>
        </w:rPr>
        <w:t>Ixhuatlán</w:t>
      </w:r>
      <w:proofErr w:type="spellEnd"/>
      <w:r w:rsidRPr="00EF104D">
        <w:rPr>
          <w:szCs w:val="18"/>
          <w:lang w:val="es-MX"/>
        </w:rPr>
        <w:t xml:space="preserve"> de Madero, Estado de Veracruz.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proofErr w:type="gramStart"/>
      <w:r w:rsidRPr="00EF104D">
        <w:rPr>
          <w:szCs w:val="18"/>
          <w:lang w:val="es-MX"/>
        </w:rPr>
        <w:t>Convenio  de</w:t>
      </w:r>
      <w:proofErr w:type="gramEnd"/>
      <w:r w:rsidRPr="00EF104D">
        <w:rPr>
          <w:szCs w:val="18"/>
          <w:lang w:val="es-MX"/>
        </w:rPr>
        <w:t xml:space="preserve">  Coordinación  y  Concertación  de  Acciones  para  la  ejecución  del  Programa  de Infraestructura  Indígena,  que  celebran  el  Instituto  Nacional  de  los  Pueblos  Indígenas  y  el Municipio de </w:t>
      </w:r>
      <w:proofErr w:type="spellStart"/>
      <w:r w:rsidRPr="00EF104D">
        <w:rPr>
          <w:szCs w:val="18"/>
          <w:lang w:val="es-MX"/>
        </w:rPr>
        <w:t>Mixtla</w:t>
      </w:r>
      <w:proofErr w:type="spellEnd"/>
      <w:r w:rsidRPr="00EF104D">
        <w:rPr>
          <w:szCs w:val="18"/>
          <w:lang w:val="es-MX"/>
        </w:rPr>
        <w:t xml:space="preserve"> de Altamirano, Estado de Veracruz.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proofErr w:type="gramStart"/>
      <w:r w:rsidRPr="00EF104D">
        <w:rPr>
          <w:szCs w:val="18"/>
          <w:lang w:val="es-MX"/>
        </w:rPr>
        <w:t>Convenio  de</w:t>
      </w:r>
      <w:proofErr w:type="gramEnd"/>
      <w:r w:rsidRPr="00EF104D">
        <w:rPr>
          <w:szCs w:val="18"/>
          <w:lang w:val="es-MX"/>
        </w:rPr>
        <w:t xml:space="preserve">  Coordinación  y  Concertación  de  Acciones  para  la  ejecución  del  Programa  de Infraestructura  Indígena,  que  celebran  el  Instituto  Nacional  de  los  Pueblos  Indígenas  y  el Municipio de Nogales, Estado de Veracruz.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rFonts w:ascii="Times New Roman" w:hAnsi="Times New Roman" w:cs="Times New Roman"/>
          <w:b/>
          <w:sz w:val="20"/>
          <w:u w:val="single"/>
          <w:lang w:val="es-MX"/>
        </w:rPr>
      </w:pPr>
      <w:r w:rsidRPr="00EF104D">
        <w:rPr>
          <w:rFonts w:ascii="Times New Roman" w:hAnsi="Times New Roman" w:cs="Times New Roman"/>
          <w:b/>
          <w:sz w:val="20"/>
          <w:u w:val="single"/>
          <w:lang w:val="es-MX"/>
        </w:rPr>
        <w:t>CONSEJO NACIONAL DE CIENCIA Y TECNOLOGIA</w:t>
      </w:r>
    </w:p>
    <w:p w:rsidR="005A7179" w:rsidRDefault="005A7179" w:rsidP="00EF104D">
      <w:pPr>
        <w:pStyle w:val="sum"/>
        <w:spacing w:line="326" w:lineRule="exact"/>
        <w:ind w:right="620"/>
        <w:rPr>
          <w:szCs w:val="18"/>
          <w:lang w:val="es-MX"/>
        </w:rPr>
      </w:pPr>
    </w:p>
    <w:p w:rsidR="00526362" w:rsidRPr="00EF104D" w:rsidRDefault="00526362" w:rsidP="005A7179">
      <w:pPr>
        <w:pStyle w:val="sum"/>
        <w:spacing w:line="326" w:lineRule="exact"/>
        <w:ind w:right="620"/>
        <w:rPr>
          <w:szCs w:val="18"/>
          <w:lang w:val="es-MX"/>
        </w:rPr>
      </w:pPr>
      <w:r w:rsidRPr="00EF104D">
        <w:rPr>
          <w:szCs w:val="18"/>
          <w:lang w:val="es-MX"/>
        </w:rPr>
        <w:lastRenderedPageBreak/>
        <w:t>Acuerdo por el que se señalan los días inhábiles para el Centro de Investigación en Alimentación</w:t>
      </w:r>
      <w:r w:rsidR="005A7179">
        <w:rPr>
          <w:szCs w:val="18"/>
          <w:lang w:val="es-MX"/>
        </w:rPr>
        <w:t xml:space="preserve"> </w:t>
      </w:r>
      <w:r w:rsidRPr="00EF104D">
        <w:rPr>
          <w:szCs w:val="18"/>
          <w:lang w:val="es-MX"/>
        </w:rPr>
        <w:t xml:space="preserve">y Desarrollo, A.C., para los periodos que se indican.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spacing w:after="0" w:line="326" w:lineRule="exact"/>
        <w:ind w:right="620"/>
        <w:jc w:val="center"/>
        <w:outlineLvl w:val="0"/>
        <w:rPr>
          <w:rFonts w:ascii="Times New Roman" w:eastAsia="Times New Roman" w:hAnsi="Times New Roman" w:cs="Times New Roman"/>
          <w:b/>
          <w:bCs/>
          <w:sz w:val="20"/>
          <w:szCs w:val="20"/>
          <w:lang w:eastAsia="es-MX"/>
        </w:rPr>
      </w:pPr>
      <w:r w:rsidRPr="00EF104D">
        <w:rPr>
          <w:rFonts w:ascii="Times New Roman" w:eastAsia="Times New Roman" w:hAnsi="Times New Roman" w:cs="Times New Roman"/>
          <w:b/>
          <w:bCs/>
          <w:sz w:val="20"/>
          <w:szCs w:val="20"/>
          <w:lang w:eastAsia="es-MX"/>
        </w:rPr>
        <w:t>PODER JUDICIAL</w:t>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rFonts w:ascii="Times New Roman" w:hAnsi="Times New Roman" w:cs="Times New Roman"/>
          <w:b/>
          <w:sz w:val="20"/>
          <w:u w:val="single"/>
          <w:lang w:val="es-MX"/>
        </w:rPr>
      </w:pPr>
      <w:r w:rsidRPr="00EF104D">
        <w:rPr>
          <w:rFonts w:ascii="Times New Roman" w:hAnsi="Times New Roman" w:cs="Times New Roman"/>
          <w:b/>
          <w:sz w:val="20"/>
          <w:u w:val="single"/>
          <w:lang w:val="es-MX"/>
        </w:rPr>
        <w:t>CONSEJO DE LA JUDICATURA FEDERAL</w:t>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Información relativa a los ingresos, egresos, saldos y destino de los Fideicomisos en los que participa el Consejo de la Judicatura Federal, en cumplimiento a lo que establece el artículo 772 del Acuerdo General del Pleno del Consejo de la Judicatura Federal que establece las disposiciones en materia de actividad administrativa del propio Consejo, así como lo señalado en</w:t>
      </w:r>
      <w:r w:rsidR="005A7179">
        <w:rPr>
          <w:szCs w:val="18"/>
          <w:lang w:val="es-MX"/>
        </w:rPr>
        <w:t xml:space="preserve"> </w:t>
      </w:r>
      <w:r w:rsidRPr="00EF104D">
        <w:rPr>
          <w:szCs w:val="18"/>
          <w:lang w:val="es-MX"/>
        </w:rPr>
        <w:t xml:space="preserve">el artículo 12 de la Ley Federal de Presupuesto y Responsabilidad Hacendaria.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rFonts w:ascii="Times New Roman" w:hAnsi="Times New Roman" w:cs="Times New Roman"/>
          <w:b/>
          <w:sz w:val="20"/>
          <w:u w:val="single"/>
          <w:lang w:val="es-MX"/>
        </w:rPr>
      </w:pPr>
      <w:r w:rsidRPr="005A7179">
        <w:rPr>
          <w:rFonts w:ascii="Times New Roman" w:hAnsi="Times New Roman" w:cs="Times New Roman"/>
          <w:b/>
          <w:sz w:val="20"/>
          <w:u w:val="single"/>
          <w:lang w:val="es-MX"/>
        </w:rPr>
        <w:t>BANCO</w:t>
      </w:r>
      <w:r w:rsidRPr="00EF104D">
        <w:rPr>
          <w:rFonts w:ascii="Times New Roman" w:hAnsi="Times New Roman" w:cs="Times New Roman"/>
          <w:b/>
          <w:sz w:val="20"/>
          <w:u w:val="single"/>
          <w:lang w:val="es-MX"/>
        </w:rPr>
        <w:t xml:space="preserve"> DE MEXICO</w:t>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Tipo de cambio para solventar obligaciones denominadas en moneda extranjera pagaderas en la</w:t>
      </w:r>
      <w:r w:rsidR="005A7179">
        <w:rPr>
          <w:szCs w:val="18"/>
          <w:lang w:val="es-MX"/>
        </w:rPr>
        <w:t xml:space="preserve"> </w:t>
      </w:r>
      <w:r w:rsidRPr="00EF104D">
        <w:rPr>
          <w:szCs w:val="18"/>
          <w:lang w:val="es-MX"/>
        </w:rPr>
        <w:t xml:space="preserve">República Mexicana.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 xml:space="preserve">Tasas de interés interbancarias de equilibrio.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 xml:space="preserve">Tasa de interés interbancaria de equilibrio de fondeo a un día hábil bancario.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 xml:space="preserve">Lista de los acuerdos o procedimientos a los que resulta aplicable la Ley de Sistemas de Pagos y denominación de las entidades que los administran.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rFonts w:ascii="Times New Roman" w:hAnsi="Times New Roman" w:cs="Times New Roman"/>
          <w:b/>
          <w:sz w:val="20"/>
          <w:u w:val="single"/>
          <w:lang w:val="es-MX"/>
        </w:rPr>
      </w:pPr>
      <w:r w:rsidRPr="00EF104D">
        <w:rPr>
          <w:rFonts w:ascii="Times New Roman" w:hAnsi="Times New Roman" w:cs="Times New Roman"/>
          <w:b/>
          <w:sz w:val="20"/>
          <w:u w:val="single"/>
          <w:lang w:val="es-MX"/>
        </w:rPr>
        <w:t>INSTITUTO FEDERAL DE TELECOMUNICACIONES</w:t>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proofErr w:type="gramStart"/>
      <w:r w:rsidRPr="00EF104D">
        <w:rPr>
          <w:szCs w:val="18"/>
          <w:lang w:val="es-MX"/>
        </w:rPr>
        <w:t>Saldo  del</w:t>
      </w:r>
      <w:proofErr w:type="gramEnd"/>
      <w:r w:rsidRPr="00EF104D">
        <w:rPr>
          <w:szCs w:val="18"/>
          <w:lang w:val="es-MX"/>
        </w:rPr>
        <w:t xml:space="preserve">  fideicomiso  en  el  que  el  Instituto  Federal  de  Telecomunicaciones  participa  como fideicomitente.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rFonts w:ascii="Times New Roman" w:hAnsi="Times New Roman" w:cs="Times New Roman"/>
          <w:b/>
          <w:sz w:val="20"/>
          <w:u w:val="single"/>
          <w:lang w:val="es-MX"/>
        </w:rPr>
      </w:pPr>
      <w:r w:rsidRPr="00EF104D">
        <w:rPr>
          <w:rFonts w:ascii="Times New Roman" w:hAnsi="Times New Roman" w:cs="Times New Roman"/>
          <w:b/>
          <w:sz w:val="20"/>
          <w:u w:val="single"/>
          <w:lang w:val="es-MX"/>
        </w:rPr>
        <w:t>CONVOCATORIAS PARA CONCURSOS DE ADQUISICIONES, ARRENDAMIENTOS, OBRAS Y SERVICIOS DEL SECTOR PUBLICO</w:t>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szCs w:val="18"/>
          <w:lang w:val="es-MX"/>
        </w:rPr>
      </w:pPr>
      <w:r w:rsidRPr="00EF104D">
        <w:rPr>
          <w:szCs w:val="18"/>
          <w:lang w:val="es-MX"/>
        </w:rPr>
        <w:t xml:space="preserve">Licitaciones Públicas Nacionales e Internacionales. </w:t>
      </w:r>
      <w:r w:rsidR="005A7179">
        <w:rPr>
          <w:szCs w:val="18"/>
          <w:lang w:val="es-MX"/>
        </w:rPr>
        <w:tab/>
      </w:r>
    </w:p>
    <w:p w:rsidR="00526362" w:rsidRPr="00EF104D" w:rsidRDefault="00526362" w:rsidP="00EF104D">
      <w:pPr>
        <w:pStyle w:val="sum"/>
        <w:spacing w:line="326" w:lineRule="exact"/>
        <w:ind w:right="620"/>
        <w:rPr>
          <w:szCs w:val="18"/>
          <w:lang w:val="es-MX"/>
        </w:rPr>
      </w:pPr>
    </w:p>
    <w:p w:rsidR="00526362" w:rsidRPr="00EF104D" w:rsidRDefault="00526362" w:rsidP="00EF104D">
      <w:pPr>
        <w:pStyle w:val="sum"/>
        <w:spacing w:line="326" w:lineRule="exact"/>
        <w:ind w:right="620"/>
        <w:rPr>
          <w:rFonts w:ascii="Times New Roman" w:hAnsi="Times New Roman" w:cs="Times New Roman"/>
          <w:b/>
          <w:sz w:val="20"/>
          <w:u w:val="single"/>
          <w:lang w:val="es-MX"/>
        </w:rPr>
      </w:pPr>
      <w:r w:rsidRPr="00EF104D">
        <w:rPr>
          <w:rFonts w:ascii="Times New Roman" w:hAnsi="Times New Roman" w:cs="Times New Roman"/>
          <w:b/>
          <w:sz w:val="20"/>
          <w:u w:val="single"/>
          <w:lang w:val="es-MX"/>
        </w:rPr>
        <w:t>AVISOS</w:t>
      </w:r>
    </w:p>
    <w:p w:rsidR="00526362" w:rsidRPr="00EF104D" w:rsidRDefault="00526362" w:rsidP="00EF104D">
      <w:pPr>
        <w:pStyle w:val="sum"/>
        <w:spacing w:line="326" w:lineRule="exact"/>
        <w:ind w:right="620"/>
        <w:rPr>
          <w:szCs w:val="18"/>
          <w:lang w:val="es-MX"/>
        </w:rPr>
      </w:pPr>
    </w:p>
    <w:p w:rsidR="00770CD6" w:rsidRPr="00EF104D" w:rsidRDefault="00526362" w:rsidP="00EF104D">
      <w:pPr>
        <w:pStyle w:val="sum"/>
        <w:spacing w:line="326" w:lineRule="exact"/>
        <w:ind w:right="620"/>
        <w:rPr>
          <w:szCs w:val="18"/>
          <w:lang w:val="es-MX"/>
        </w:rPr>
      </w:pPr>
      <w:r w:rsidRPr="00EF104D">
        <w:rPr>
          <w:szCs w:val="18"/>
          <w:lang w:val="es-MX"/>
        </w:rPr>
        <w:t xml:space="preserve">Judiciales y generales. </w:t>
      </w:r>
      <w:r w:rsidR="005A7179">
        <w:rPr>
          <w:szCs w:val="18"/>
          <w:lang w:val="es-MX"/>
        </w:rPr>
        <w:tab/>
      </w:r>
    </w:p>
    <w:sectPr w:rsidR="00770CD6" w:rsidRPr="00EF104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985" w:rsidRDefault="000B1985" w:rsidP="00526362">
      <w:pPr>
        <w:spacing w:after="0" w:line="240" w:lineRule="auto"/>
      </w:pPr>
      <w:r>
        <w:separator/>
      </w:r>
    </w:p>
  </w:endnote>
  <w:endnote w:type="continuationSeparator" w:id="0">
    <w:p w:rsidR="000B1985" w:rsidRDefault="000B1985" w:rsidP="0052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985" w:rsidRDefault="000B1985" w:rsidP="00526362">
      <w:pPr>
        <w:spacing w:after="0" w:line="240" w:lineRule="auto"/>
      </w:pPr>
      <w:r>
        <w:separator/>
      </w:r>
    </w:p>
  </w:footnote>
  <w:footnote w:type="continuationSeparator" w:id="0">
    <w:p w:rsidR="000B1985" w:rsidRDefault="000B1985" w:rsidP="0052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62" w:rsidRPr="00526362" w:rsidRDefault="00526362" w:rsidP="00526362">
    <w:pPr>
      <w:widowControl w:val="0"/>
      <w:autoSpaceDE w:val="0"/>
      <w:autoSpaceDN w:val="0"/>
      <w:adjustRightInd w:val="0"/>
      <w:spacing w:after="0" w:line="200" w:lineRule="exact"/>
      <w:rPr>
        <w:rFonts w:ascii="Times New Roman" w:hAnsi="Times New Roman"/>
        <w:sz w:val="20"/>
        <w:szCs w:val="20"/>
      </w:rPr>
    </w:pPr>
    <w:r>
      <w:rPr>
        <w:noProof/>
        <w:lang w:eastAsia="es-MX"/>
      </w:rPr>
      <mc:AlternateContent>
        <mc:Choice Requires="wpg">
          <w:drawing>
            <wp:anchor distT="0" distB="0" distL="114300" distR="114300" simplePos="0" relativeHeight="251659264" behindDoc="1" locked="0" layoutInCell="0" allowOverlap="1">
              <wp:simplePos x="0" y="0"/>
              <wp:positionH relativeFrom="page">
                <wp:posOffset>1236980</wp:posOffset>
              </wp:positionH>
              <wp:positionV relativeFrom="page">
                <wp:posOffset>598805</wp:posOffset>
              </wp:positionV>
              <wp:extent cx="5297805" cy="28575"/>
              <wp:effectExtent l="0" t="0" r="0"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805" cy="28575"/>
                        <a:chOff x="1948" y="943"/>
                        <a:chExt cx="8343" cy="45"/>
                      </a:xfrm>
                    </wpg:grpSpPr>
                    <wps:wsp>
                      <wps:cNvPr id="18" name="Freeform 14"/>
                      <wps:cNvSpPr>
                        <a:spLocks/>
                      </wps:cNvSpPr>
                      <wps:spPr bwMode="auto">
                        <a:xfrm>
                          <a:off x="1957" y="980"/>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5"/>
                      <wps:cNvSpPr>
                        <a:spLocks/>
                      </wps:cNvSpPr>
                      <wps:spPr bwMode="auto">
                        <a:xfrm>
                          <a:off x="1957" y="951"/>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BFC66" id="Grupo 17" o:spid="_x0000_s1026" style="position:absolute;margin-left:97.4pt;margin-top:47.15pt;width:417.15pt;height:2.25pt;z-index:-251657216;mso-position-horizontal-relative:page;mso-position-vertical-relative:page" coordorigin="1948,943" coordsize="83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" o:allowincell="f">
              <v:shape id="Freeform 14" o:spid="_x0000_s1027" style="position:absolute;left:1957;top:980;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" path="m,l8325,e" filled="f" strokeweight=".82pt">
                <v:path arrowok="t" o:connecttype="custom" o:connectlocs="0,0;8325,0" o:connectangles="0,0"/>
              </v:shape>
              <v:shape id="Freeform 15" o:spid="_x0000_s1028" style="position:absolute;left:1957;top:951;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" path="m,l8325,e" filled="f" strokeweight=".82pt">
                <v:path arrowok="t" o:connecttype="custom" o:connectlocs="0,0;8325,0" o:connectangles="0,0"/>
              </v:shape>
              <w10:wrap anchorx="page" anchory="page"/>
            </v:group>
          </w:pict>
        </mc:Fallback>
      </mc:AlternateContent>
    </w:r>
    <w:r>
      <w:rPr>
        <w:noProof/>
        <w:lang w:eastAsia="es-MX"/>
      </w:rPr>
      <mc:AlternateContent>
        <mc:Choice Requires="wps">
          <w:drawing>
            <wp:anchor distT="0" distB="0" distL="114300" distR="114300" simplePos="0" relativeHeight="251660288" behindDoc="1" locked="0" layoutInCell="0" allowOverlap="1">
              <wp:simplePos x="0" y="0"/>
              <wp:positionH relativeFrom="page">
                <wp:posOffset>1249045</wp:posOffset>
              </wp:positionH>
              <wp:positionV relativeFrom="page">
                <wp:posOffset>454660</wp:posOffset>
              </wp:positionV>
              <wp:extent cx="1298575" cy="1397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362" w:rsidRDefault="00526362" w:rsidP="00526362">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Martes</w:t>
                          </w:r>
                          <w:r>
                            <w:rPr>
                              <w:rFonts w:ascii="Times New Roman" w:hAnsi="Times New Roman"/>
                              <w:spacing w:val="1"/>
                              <w:sz w:val="18"/>
                              <w:szCs w:val="18"/>
                            </w:rPr>
                            <w:t xml:space="preserve"> </w:t>
                          </w:r>
                          <w:r>
                            <w:rPr>
                              <w:rFonts w:ascii="Times New Roman" w:hAnsi="Times New Roman"/>
                              <w:sz w:val="18"/>
                              <w:szCs w:val="18"/>
                            </w:rPr>
                            <w:t>28</w:t>
                          </w:r>
                          <w:r>
                            <w:rPr>
                              <w:rFonts w:ascii="Times New Roman" w:hAnsi="Times New Roman"/>
                              <w:spacing w:val="1"/>
                              <w:sz w:val="18"/>
                              <w:szCs w:val="18"/>
                            </w:rPr>
                            <w:t xml:space="preserve"> </w:t>
                          </w:r>
                          <w:r>
                            <w:rPr>
                              <w:rFonts w:ascii="Times New Roman" w:hAnsi="Times New Roman"/>
                              <w:spacing w:val="-1"/>
                              <w:sz w:val="18"/>
                              <w:szCs w:val="18"/>
                            </w:rPr>
                            <w:t>d</w:t>
                          </w:r>
                          <w:r>
                            <w:rPr>
                              <w:rFonts w:ascii="Times New Roman" w:hAnsi="Times New Roman"/>
                              <w:sz w:val="18"/>
                              <w:szCs w:val="18"/>
                            </w:rPr>
                            <w:t>e e</w:t>
                          </w:r>
                          <w:r>
                            <w:rPr>
                              <w:rFonts w:ascii="Times New Roman" w:hAnsi="Times New Roman"/>
                              <w:spacing w:val="-1"/>
                              <w:sz w:val="18"/>
                              <w:szCs w:val="18"/>
                            </w:rPr>
                            <w:t>n</w:t>
                          </w:r>
                          <w:r>
                            <w:rPr>
                              <w:rFonts w:ascii="Times New Roman" w:hAnsi="Times New Roman"/>
                              <w:sz w:val="18"/>
                              <w:szCs w:val="18"/>
                            </w:rPr>
                            <w:t>ero</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z w:val="18"/>
                              <w:szCs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6" o:spid="_x0000_s1026" type="#_x0000_t202" style="position:absolute;margin-left:98.35pt;margin-top:35.8pt;width:102.2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" o:allowincell="f" filled="f" stroked="f">
              <v:textbox inset="0,0,0,0">
                <w:txbxContent>
                  <w:p w:rsidR="00526362" w:rsidRDefault="00526362" w:rsidP="00526362">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Martes</w:t>
                    </w:r>
                    <w:r>
                      <w:rPr>
                        <w:rFonts w:ascii="Times New Roman" w:hAnsi="Times New Roman"/>
                        <w:spacing w:val="1"/>
                        <w:sz w:val="18"/>
                        <w:szCs w:val="18"/>
                      </w:rPr>
                      <w:t xml:space="preserve"> </w:t>
                    </w:r>
                    <w:r>
                      <w:rPr>
                        <w:rFonts w:ascii="Times New Roman" w:hAnsi="Times New Roman"/>
                        <w:sz w:val="18"/>
                        <w:szCs w:val="18"/>
                      </w:rPr>
                      <w:t>28</w:t>
                    </w:r>
                    <w:r>
                      <w:rPr>
                        <w:rFonts w:ascii="Times New Roman" w:hAnsi="Times New Roman"/>
                        <w:spacing w:val="1"/>
                        <w:sz w:val="18"/>
                        <w:szCs w:val="18"/>
                      </w:rPr>
                      <w:t xml:space="preserve"> </w:t>
                    </w:r>
                    <w:r>
                      <w:rPr>
                        <w:rFonts w:ascii="Times New Roman" w:hAnsi="Times New Roman"/>
                        <w:spacing w:val="-1"/>
                        <w:sz w:val="18"/>
                        <w:szCs w:val="18"/>
                      </w:rPr>
                      <w:t>d</w:t>
                    </w:r>
                    <w:r>
                      <w:rPr>
                        <w:rFonts w:ascii="Times New Roman" w:hAnsi="Times New Roman"/>
                        <w:sz w:val="18"/>
                        <w:szCs w:val="18"/>
                      </w:rPr>
                      <w:t>e e</w:t>
                    </w:r>
                    <w:r>
                      <w:rPr>
                        <w:rFonts w:ascii="Times New Roman" w:hAnsi="Times New Roman"/>
                        <w:spacing w:val="-1"/>
                        <w:sz w:val="18"/>
                        <w:szCs w:val="18"/>
                      </w:rPr>
                      <w:t>n</w:t>
                    </w:r>
                    <w:r>
                      <w:rPr>
                        <w:rFonts w:ascii="Times New Roman" w:hAnsi="Times New Roman"/>
                        <w:sz w:val="18"/>
                        <w:szCs w:val="18"/>
                      </w:rPr>
                      <w:t>ero</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z w:val="18"/>
                        <w:szCs w:val="18"/>
                      </w:rPr>
                      <w:t>2020</w:t>
                    </w:r>
                  </w:p>
                </w:txbxContent>
              </v:textbox>
              <w10:wrap anchorx="page" anchory="page"/>
            </v:shape>
          </w:pict>
        </mc:Fallback>
      </mc:AlternateContent>
    </w:r>
    <w:r>
      <w:rPr>
        <w:noProof/>
        <w:lang w:eastAsia="es-MX"/>
      </w:rPr>
      <mc:AlternateContent>
        <mc:Choice Requires="wps">
          <w:drawing>
            <wp:anchor distT="0" distB="0" distL="114300" distR="114300" simplePos="0" relativeHeight="251661312" behindDoc="1" locked="0" layoutInCell="0" allowOverlap="1">
              <wp:simplePos x="0" y="0"/>
              <wp:positionH relativeFrom="page">
                <wp:posOffset>3461385</wp:posOffset>
              </wp:positionH>
              <wp:positionV relativeFrom="page">
                <wp:posOffset>454660</wp:posOffset>
              </wp:positionV>
              <wp:extent cx="905510" cy="13970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362" w:rsidRDefault="00526362" w:rsidP="00526362">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DIARIO</w:t>
                          </w:r>
                          <w:r>
                            <w:rPr>
                              <w:rFonts w:ascii="Times New Roman" w:hAnsi="Times New Roman"/>
                              <w:spacing w:val="1"/>
                              <w:sz w:val="18"/>
                              <w:szCs w:val="18"/>
                            </w:rPr>
                            <w:t xml:space="preserve"> </w:t>
                          </w:r>
                          <w:r>
                            <w:rPr>
                              <w:rFonts w:ascii="Times New Roman" w:hAnsi="Times New Roman"/>
                              <w:sz w:val="18"/>
                              <w:szCs w:val="18"/>
                            </w:rPr>
                            <w:t>OFIC</w:t>
                          </w:r>
                          <w:r>
                            <w:rPr>
                              <w:rFonts w:ascii="Times New Roman" w:hAnsi="Times New Roman"/>
                              <w:spacing w:val="1"/>
                              <w:sz w:val="18"/>
                              <w:szCs w:val="18"/>
                            </w:rPr>
                            <w:t>I</w:t>
                          </w:r>
                          <w:r>
                            <w:rPr>
                              <w:rFonts w:ascii="Times New Roman" w:hAnsi="Times New Roman"/>
                              <w:sz w:val="18"/>
                              <w:szCs w:val="18"/>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 o:spid="_x0000_s1027" type="#_x0000_t202" style="position:absolute;margin-left:272.55pt;margin-top:35.8pt;width:71.3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" o:allowincell="f" filled="f" stroked="f">
              <v:textbox inset="0,0,0,0">
                <w:txbxContent>
                  <w:p w:rsidR="00526362" w:rsidRDefault="00526362" w:rsidP="00526362">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DIARIO</w:t>
                    </w:r>
                    <w:r>
                      <w:rPr>
                        <w:rFonts w:ascii="Times New Roman" w:hAnsi="Times New Roman"/>
                        <w:spacing w:val="1"/>
                        <w:sz w:val="18"/>
                        <w:szCs w:val="18"/>
                      </w:rPr>
                      <w:t xml:space="preserve"> </w:t>
                    </w:r>
                    <w:r>
                      <w:rPr>
                        <w:rFonts w:ascii="Times New Roman" w:hAnsi="Times New Roman"/>
                        <w:sz w:val="18"/>
                        <w:szCs w:val="18"/>
                      </w:rPr>
                      <w:t>OFIC</w:t>
                    </w:r>
                    <w:r>
                      <w:rPr>
                        <w:rFonts w:ascii="Times New Roman" w:hAnsi="Times New Roman"/>
                        <w:spacing w:val="1"/>
                        <w:sz w:val="18"/>
                        <w:szCs w:val="18"/>
                      </w:rPr>
                      <w:t>I</w:t>
                    </w:r>
                    <w:r>
                      <w:rPr>
                        <w:rFonts w:ascii="Times New Roman" w:hAnsi="Times New Roman"/>
                        <w:sz w:val="18"/>
                        <w:szCs w:val="18"/>
                      </w:rPr>
                      <w:t>AL</w:t>
                    </w:r>
                  </w:p>
                </w:txbxContent>
              </v:textbox>
              <w10:wrap anchorx="page" anchory="page"/>
            </v:shape>
          </w:pict>
        </mc:Fallback>
      </mc:AlternateContent>
    </w:r>
    <w:r>
      <w:rPr>
        <w:noProof/>
        <w:lang w:eastAsia="es-MX"/>
      </w:rPr>
      <mc:AlternateContent>
        <mc:Choice Requires="wps">
          <w:drawing>
            <wp:anchor distT="0" distB="0" distL="114300" distR="114300" simplePos="0" relativeHeight="251662336" behindDoc="1" locked="0" layoutInCell="0" allowOverlap="1">
              <wp:simplePos x="0" y="0"/>
              <wp:positionH relativeFrom="page">
                <wp:posOffset>6332855</wp:posOffset>
              </wp:positionH>
              <wp:positionV relativeFrom="page">
                <wp:posOffset>454660</wp:posOffset>
              </wp:positionV>
              <wp:extent cx="222250" cy="13970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362" w:rsidRDefault="00526362" w:rsidP="00526362">
                          <w:pPr>
                            <w:widowControl w:val="0"/>
                            <w:autoSpaceDE w:val="0"/>
                            <w:autoSpaceDN w:val="0"/>
                            <w:adjustRightInd w:val="0"/>
                            <w:spacing w:after="0" w:line="204" w:lineRule="exact"/>
                            <w:ind w:left="40" w:right="-20"/>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 o:spid="_x0000_s1028" type="#_x0000_t202" style="position:absolute;margin-left:498.65pt;margin-top:35.8pt;width:17.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" o:allowincell="f" filled="f" stroked="f">
              <v:textbox inset="0,0,0,0">
                <w:txbxContent>
                  <w:p w:rsidR="00526362" w:rsidRDefault="00526362" w:rsidP="00526362">
                    <w:pPr>
                      <w:widowControl w:val="0"/>
                      <w:autoSpaceDE w:val="0"/>
                      <w:autoSpaceDN w:val="0"/>
                      <w:adjustRightInd w:val="0"/>
                      <w:spacing w:after="0" w:line="204" w:lineRule="exact"/>
                      <w:ind w:left="40" w:right="-20"/>
                      <w:rPr>
                        <w:rFonts w:ascii="Times New Roman" w:hAnsi="Times New Roman"/>
                        <w:sz w:val="18"/>
                        <w:szCs w:val="18"/>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62"/>
    <w:rsid w:val="000B1985"/>
    <w:rsid w:val="00526362"/>
    <w:rsid w:val="005A7179"/>
    <w:rsid w:val="00770CD6"/>
    <w:rsid w:val="007C7DD5"/>
    <w:rsid w:val="00EF10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76C28"/>
  <w15:chartTrackingRefBased/>
  <w15:docId w15:val="{DC34B06E-300F-49B2-B0F5-4554F01F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3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6362"/>
  </w:style>
  <w:style w:type="paragraph" w:styleId="Piedepgina">
    <w:name w:val="footer"/>
    <w:basedOn w:val="Normal"/>
    <w:link w:val="PiedepginaCar"/>
    <w:uiPriority w:val="99"/>
    <w:unhideWhenUsed/>
    <w:rsid w:val="005263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362"/>
  </w:style>
  <w:style w:type="paragraph" w:customStyle="1" w:styleId="sum">
    <w:name w:val="sum"/>
    <w:basedOn w:val="Normal"/>
    <w:link w:val="sumCar"/>
    <w:rsid w:val="00EF104D"/>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EF104D"/>
    <w:rPr>
      <w:rFonts w:ascii="Arial" w:eastAsia="Times New Roman" w:hAnsi="Arial" w:cs="Arial"/>
      <w:sz w:val="18"/>
      <w:szCs w:val="20"/>
      <w:lang w:val="es-ES_tradnl" w:eastAsia="es-ES"/>
    </w:rPr>
  </w:style>
  <w:style w:type="paragraph" w:styleId="Textodeglobo">
    <w:name w:val="Balloon Text"/>
    <w:basedOn w:val="Normal"/>
    <w:link w:val="TextodegloboCar"/>
    <w:uiPriority w:val="99"/>
    <w:semiHidden/>
    <w:unhideWhenUsed/>
    <w:rsid w:val="005A71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1167</Words>
  <Characters>6420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2020-01-28T16:27:00Z</cp:lastPrinted>
  <dcterms:created xsi:type="dcterms:W3CDTF">2020-01-28T16:00:00Z</dcterms:created>
  <dcterms:modified xsi:type="dcterms:W3CDTF">2020-01-28T16:28:00Z</dcterms:modified>
</cp:coreProperties>
</file>