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93" w:rsidRDefault="00752693" w:rsidP="00752693">
      <w:r>
        <w:t xml:space="preserve">INDICE </w:t>
      </w:r>
    </w:p>
    <w:p w:rsidR="00752693" w:rsidRDefault="00752693" w:rsidP="00752693">
      <w:r>
        <w:t>PODER EJECUTIVO</w:t>
      </w:r>
    </w:p>
    <w:p w:rsidR="00752693" w:rsidRDefault="00752693" w:rsidP="00752693">
      <w:bookmarkStart w:id="0" w:name="_GoBack"/>
      <w:bookmarkEnd w:id="0"/>
    </w:p>
    <w:p w:rsidR="00752693" w:rsidRDefault="00752693" w:rsidP="00752693">
      <w:r>
        <w:t>SECRETARIA DE SEGURIDAD Y PROTECCION CIUDADANA</w:t>
      </w:r>
    </w:p>
    <w:p w:rsidR="00752693" w:rsidRDefault="00752693" w:rsidP="00752693"/>
    <w:p w:rsidR="00752693" w:rsidRDefault="00752693" w:rsidP="00752693">
      <w:r>
        <w:t>Acuerdo por el que se delegan en el Comandante de la Guardia Nacional las facultades que</w:t>
      </w:r>
    </w:p>
    <w:p w:rsidR="00752693" w:rsidRDefault="00752693" w:rsidP="00752693">
      <w:r>
        <w:t>se indican. ........................................................................................................................................</w:t>
      </w:r>
      <w:r>
        <w:tab/>
        <w:t>2</w:t>
      </w:r>
    </w:p>
    <w:p w:rsidR="00752693" w:rsidRDefault="00752693" w:rsidP="00752693"/>
    <w:p w:rsidR="00752693" w:rsidRDefault="00752693" w:rsidP="00752693">
      <w:r>
        <w:t>SECRETARIA DE HACIENDA Y CREDITO PUBLICO</w:t>
      </w:r>
    </w:p>
    <w:p w:rsidR="00752693" w:rsidRDefault="00752693" w:rsidP="00752693"/>
    <w:p w:rsidR="00752693" w:rsidRDefault="00752693" w:rsidP="00752693">
      <w:r>
        <w:t xml:space="preserve">Acuerdo por el que se otorga la patente de Agente Aduanal número 1798 a favor de la ciudadana </w:t>
      </w:r>
      <w:proofErr w:type="gramStart"/>
      <w:r>
        <w:t>Martha  De</w:t>
      </w:r>
      <w:proofErr w:type="gramEnd"/>
      <w:r>
        <w:t xml:space="preserve">  la  Garza  González,  para  ejercer  funciones  con  tal  carácter  ante  la  aduana  de Veracruz, como aduana de adscripción. ..........................................................................................</w:t>
      </w:r>
      <w:r>
        <w:tab/>
        <w:t>3</w:t>
      </w:r>
    </w:p>
    <w:p w:rsidR="00752693" w:rsidRDefault="00752693" w:rsidP="00752693"/>
    <w:p w:rsidR="00752693" w:rsidRDefault="00752693" w:rsidP="00752693">
      <w:r>
        <w:t xml:space="preserve">Acuerdo por el que se otorga la patente de Agente Aduanal número 1801 a favor de la ciudadana Andrea </w:t>
      </w:r>
      <w:proofErr w:type="spellStart"/>
      <w:r>
        <w:t>Chapela</w:t>
      </w:r>
      <w:proofErr w:type="spellEnd"/>
      <w:r>
        <w:t xml:space="preserve"> Díaz, para ejercer funciones con tal carácter ante la aduana del Aeropuerto Internacional de la Ciudad de México, como aduana de adscripción. ..............................................</w:t>
      </w:r>
      <w:r>
        <w:tab/>
        <w:t>4</w:t>
      </w:r>
    </w:p>
    <w:p w:rsidR="00752693" w:rsidRDefault="00752693" w:rsidP="00752693"/>
    <w:p w:rsidR="00752693" w:rsidRDefault="00752693" w:rsidP="00752693">
      <w:r>
        <w:t xml:space="preserve">Acuerdo por el que se otorga la patente de Agente Aduanal número 1803 a favor del ciudadano </w:t>
      </w:r>
      <w:proofErr w:type="gramStart"/>
      <w:r>
        <w:t xml:space="preserve">Federico  </w:t>
      </w:r>
      <w:proofErr w:type="spellStart"/>
      <w:r>
        <w:t>Rioseco</w:t>
      </w:r>
      <w:proofErr w:type="spellEnd"/>
      <w:proofErr w:type="gramEnd"/>
      <w:r>
        <w:t xml:space="preserve">  Zaragoza,  para  ejercer  funciones  con  tal  carácter  ante  la  aduana  del Aeropuerto Internacional de la Ciudad de México, como aduana de adscripción. ...........................</w:t>
      </w:r>
      <w:r>
        <w:tab/>
        <w:t>5</w:t>
      </w:r>
    </w:p>
    <w:p w:rsidR="00752693" w:rsidRDefault="00752693" w:rsidP="00752693"/>
    <w:p w:rsidR="00752693" w:rsidRDefault="00752693" w:rsidP="00752693">
      <w:r>
        <w:t>SECRETARIA DE ECONOMIA</w:t>
      </w:r>
    </w:p>
    <w:p w:rsidR="00752693" w:rsidRDefault="00752693" w:rsidP="00752693"/>
    <w:p w:rsidR="00752693" w:rsidRDefault="00752693" w:rsidP="00752693">
      <w:r>
        <w:t xml:space="preserve">Acuerdo por el que se da a conocer la sustitución del Anexo I y del Anexo II del Acuerdo entre los </w:t>
      </w:r>
      <w:proofErr w:type="gramStart"/>
      <w:r>
        <w:t>Estados  Unidos</w:t>
      </w:r>
      <w:proofErr w:type="gramEnd"/>
      <w:r>
        <w:t xml:space="preserve">  Mexicanos  y  la  Comunidad  Europea  sobre  el  reconocimiento  mutuo  y  la protección de las denominaciones en el sector de las bebidas espirituosas. ...................................</w:t>
      </w:r>
      <w:r>
        <w:tab/>
        <w:t>6</w:t>
      </w:r>
    </w:p>
    <w:p w:rsidR="00752693" w:rsidRDefault="00752693" w:rsidP="00752693"/>
    <w:p w:rsidR="00752693" w:rsidRDefault="00752693" w:rsidP="00752693">
      <w:proofErr w:type="gramStart"/>
      <w:r>
        <w:lastRenderedPageBreak/>
        <w:t>Acuerdo  que</w:t>
      </w:r>
      <w:proofErr w:type="gramEnd"/>
      <w:r>
        <w:t xml:space="preserve">  modifica  al  diverso  por  el  que  se  establece  la  clasificación  y  codificación  de mercancías  cuya  importación  y  exportación  está  sujeta  a  regulación  por  parte  de  las dependencias que integran la Comisión Intersecretarial para el Control del Proceso y Uso de Plaguicidas, Fertilizantes y Sustancias Tóxicas. ..............................................................................</w:t>
      </w:r>
      <w:r>
        <w:tab/>
        <w:t>12</w:t>
      </w:r>
    </w:p>
    <w:p w:rsidR="00752693" w:rsidRDefault="00752693" w:rsidP="00752693"/>
    <w:p w:rsidR="00752693" w:rsidRDefault="00752693" w:rsidP="00752693">
      <w:r>
        <w:t>SECRETARIA DE COMUNICACIONES Y TRANSPORTES</w:t>
      </w:r>
    </w:p>
    <w:p w:rsidR="00752693" w:rsidRDefault="00752693" w:rsidP="00752693"/>
    <w:p w:rsidR="00752693" w:rsidRDefault="00752693" w:rsidP="00752693">
      <w:r>
        <w:t>Acuerdo por el que se modifican los requisitos médicos relativos al personal técnico aeronáutico, personal técnico de transporte marítimo, personal del autotransporte público federal y personal</w:t>
      </w:r>
    </w:p>
    <w:p w:rsidR="00752693" w:rsidRDefault="00752693" w:rsidP="00752693">
      <w:r>
        <w:t>técnico ferroviario. ............................................................................................................................</w:t>
      </w:r>
      <w:r>
        <w:tab/>
        <w:t>14</w:t>
      </w:r>
    </w:p>
    <w:p w:rsidR="00752693" w:rsidRDefault="00752693" w:rsidP="00752693"/>
    <w:p w:rsidR="00752693" w:rsidRDefault="00752693" w:rsidP="00752693">
      <w:proofErr w:type="gramStart"/>
      <w:r>
        <w:t>Lineamientos  generales</w:t>
      </w:r>
      <w:proofErr w:type="gramEnd"/>
      <w:r>
        <w:t xml:space="preserve">  que  deben  observarse  para  desarrollar  los  modelos  de  costos  que se  aplicarán  para  resolver  los  procedimientos  suscitados  dentro  del  Sistema  Ferroviario Mexicano, respecto de lo dispuesto en los artículos 35, 36, 36 Bis y 47 de la Ley Reglamentaria</w:t>
      </w:r>
    </w:p>
    <w:p w:rsidR="00752693" w:rsidRDefault="00752693" w:rsidP="00752693">
      <w:r>
        <w:t>del Servicio Ferroviario. ....................................................................................................................</w:t>
      </w:r>
      <w:r>
        <w:tab/>
        <w:t>15</w:t>
      </w:r>
    </w:p>
    <w:p w:rsidR="00752693" w:rsidRDefault="00752693" w:rsidP="00752693"/>
    <w:p w:rsidR="00752693" w:rsidRDefault="00752693" w:rsidP="00752693">
      <w:r>
        <w:t>SECRETARIA DE SALUD</w:t>
      </w:r>
    </w:p>
    <w:p w:rsidR="00752693" w:rsidRDefault="00752693" w:rsidP="00752693"/>
    <w:p w:rsidR="00752693" w:rsidRDefault="00752693" w:rsidP="00752693">
      <w:r>
        <w:t xml:space="preserve">Convenio Específico en materia de transferencia de recursos federales con el carácter de </w:t>
      </w:r>
      <w:proofErr w:type="gramStart"/>
      <w:r>
        <w:t>subsidios  para</w:t>
      </w:r>
      <w:proofErr w:type="gramEnd"/>
      <w:r>
        <w:t xml:space="preserve">  fortalecer  la  ejecución  y  desarrollo  del  programa  y  proyectos  federales de Protección contra Riesgos Sanitarios, así como la Red Nacional de Laboratorios, que celebran</w:t>
      </w:r>
    </w:p>
    <w:p w:rsidR="00752693" w:rsidRDefault="00752693" w:rsidP="00752693">
      <w:r>
        <w:t>la Secretaría de Salud y el Estado de Nayarit. .................................................................................       18</w:t>
      </w:r>
    </w:p>
    <w:p w:rsidR="00752693" w:rsidRDefault="00752693" w:rsidP="00752693"/>
    <w:p w:rsidR="00752693" w:rsidRDefault="00752693" w:rsidP="00752693">
      <w:r>
        <w:t xml:space="preserve">Convenio Específico en materia de transferencia de recursos federales con el carácter de </w:t>
      </w:r>
      <w:proofErr w:type="gramStart"/>
      <w:r>
        <w:t>subsidios  para</w:t>
      </w:r>
      <w:proofErr w:type="gramEnd"/>
      <w:r>
        <w:t xml:space="preserve">  fortalecer  la  ejecución  y  desarrollo  del  programa  y  proyectos  federales de Protección contra Riesgos Sanitarios, así como la Red Nacional de Laboratorios, que celebran</w:t>
      </w:r>
    </w:p>
    <w:p w:rsidR="00752693" w:rsidRDefault="00752693" w:rsidP="00752693">
      <w:r>
        <w:t>la Secretaría de Salud y el Estado de Nuevo León. .........................................................................       44</w:t>
      </w:r>
    </w:p>
    <w:p w:rsidR="00752693" w:rsidRDefault="00752693" w:rsidP="00752693"/>
    <w:p w:rsidR="00752693" w:rsidRDefault="00752693" w:rsidP="00752693">
      <w:r>
        <w:t xml:space="preserve">Convenio Específico en materia de transferencia de recursos federales con el carácter de </w:t>
      </w:r>
      <w:proofErr w:type="gramStart"/>
      <w:r>
        <w:t>subsidios  para</w:t>
      </w:r>
      <w:proofErr w:type="gramEnd"/>
      <w:r>
        <w:t xml:space="preserve">  fortalecer  la  ejecución  y  desarrollo  del  programa  y  proyectos  federales de Protección contra Riesgos Sanitarios, así como la Red Nacional de Laboratorios, que celebran</w:t>
      </w:r>
    </w:p>
    <w:p w:rsidR="00752693" w:rsidRDefault="00752693" w:rsidP="00752693">
      <w:r>
        <w:lastRenderedPageBreak/>
        <w:t>la Secretaría de Salud y el Estado de Oaxaca. ................................................................................       70</w:t>
      </w:r>
    </w:p>
    <w:p w:rsidR="00752693" w:rsidRDefault="00752693" w:rsidP="00752693">
      <w:r>
        <w:t xml:space="preserve"> </w:t>
      </w:r>
    </w:p>
    <w:p w:rsidR="00752693" w:rsidRDefault="00752693" w:rsidP="00752693">
      <w:r>
        <w:t>418</w:t>
      </w:r>
      <w:r>
        <w:tab/>
        <w:t>DIARIO OFICIAL</w:t>
      </w:r>
      <w:r>
        <w:tab/>
      </w:r>
      <w:proofErr w:type="gramStart"/>
      <w:r>
        <w:t>Martes</w:t>
      </w:r>
      <w:proofErr w:type="gramEnd"/>
      <w:r>
        <w:t xml:space="preserve"> 4 de febrero de 2020</w:t>
      </w:r>
    </w:p>
    <w:p w:rsidR="00752693" w:rsidRDefault="00752693" w:rsidP="00752693"/>
    <w:p w:rsidR="00752693" w:rsidRDefault="00752693" w:rsidP="00752693">
      <w:r>
        <w:t xml:space="preserve">Convenio Específico en materia de transferencia de recursos federales con el carácter de </w:t>
      </w:r>
      <w:proofErr w:type="gramStart"/>
      <w:r>
        <w:t>subsidios  para</w:t>
      </w:r>
      <w:proofErr w:type="gramEnd"/>
      <w:r>
        <w:t xml:space="preserve">  fortalecer  la  ejecución  y  desarrollo  del  programa  y  proyectos  federales de protección contra Riesgos Sanitarios, así como la Red Nacional de Laboratorios, que celebran</w:t>
      </w:r>
    </w:p>
    <w:p w:rsidR="00752693" w:rsidRDefault="00752693" w:rsidP="00752693">
      <w:r>
        <w:t>la Secretaría de Salud y el Estado de Quintana Roo. ......................................................................       95</w:t>
      </w:r>
    </w:p>
    <w:p w:rsidR="00752693" w:rsidRDefault="00752693" w:rsidP="00752693"/>
    <w:p w:rsidR="00752693" w:rsidRDefault="00752693" w:rsidP="00752693">
      <w:r>
        <w:t xml:space="preserve">Convenio Específico en materia de transferencia de recursos federales con el carácter de </w:t>
      </w:r>
      <w:proofErr w:type="gramStart"/>
      <w:r>
        <w:t>subsidios  para</w:t>
      </w:r>
      <w:proofErr w:type="gramEnd"/>
      <w:r>
        <w:t xml:space="preserve">  fortalecer  la  ejecución  y  desarrollo  del  programa  y  proyectos  federales de Protección contra Riesgos Sanitarios, así como la Red Nacional de Laboratorios, que celebran</w:t>
      </w:r>
    </w:p>
    <w:p w:rsidR="00752693" w:rsidRDefault="00752693" w:rsidP="00752693">
      <w:r>
        <w:t>la Secretaría de Salud y el Estado de Sonora. .................................................................................     121</w:t>
      </w:r>
    </w:p>
    <w:p w:rsidR="00752693" w:rsidRDefault="00752693" w:rsidP="00752693"/>
    <w:p w:rsidR="00752693" w:rsidRDefault="00752693" w:rsidP="00752693">
      <w:r>
        <w:t>SECRETARIA DE DESARROLLO AGRARIO, TERRITORIAL Y URBANO</w:t>
      </w:r>
    </w:p>
    <w:p w:rsidR="00752693" w:rsidRDefault="00752693" w:rsidP="00752693"/>
    <w:p w:rsidR="00752693" w:rsidRDefault="00752693" w:rsidP="00752693">
      <w:r>
        <w:t>Reglas de Operación del Programa de Vivienda Social. ..................................................................</w:t>
      </w:r>
      <w:r>
        <w:tab/>
        <w:t>148</w:t>
      </w:r>
    </w:p>
    <w:p w:rsidR="00752693" w:rsidRDefault="00752693" w:rsidP="00752693"/>
    <w:p w:rsidR="00752693" w:rsidRDefault="00752693" w:rsidP="00752693">
      <w:r>
        <w:t>INSTITUTO MEXICANO DE LA PROPIEDAD INDUSTRIAL</w:t>
      </w:r>
    </w:p>
    <w:p w:rsidR="00752693" w:rsidRDefault="00752693" w:rsidP="00752693"/>
    <w:p w:rsidR="00752693" w:rsidRDefault="00752693" w:rsidP="00752693">
      <w:r>
        <w:t>Declaración de Protección de la Denominación de Origen PLUMA. ................................................</w:t>
      </w:r>
      <w:r>
        <w:tab/>
        <w:t>203</w:t>
      </w:r>
    </w:p>
    <w:p w:rsidR="00752693" w:rsidRDefault="00752693" w:rsidP="00752693"/>
    <w:p w:rsidR="00752693" w:rsidRDefault="00752693" w:rsidP="00752693">
      <w:r>
        <w:t>Extracto de la solicitud del gobierno del Estado de Sinaloa para modificar la Declaración General</w:t>
      </w:r>
    </w:p>
    <w:p w:rsidR="00752693" w:rsidRDefault="00752693" w:rsidP="00752693">
      <w:r>
        <w:t>de Protección de la Denominación de Origen Mezcal. .....................................................................</w:t>
      </w:r>
      <w:r>
        <w:tab/>
        <w:t>209</w:t>
      </w:r>
    </w:p>
    <w:p w:rsidR="00752693" w:rsidRDefault="00752693" w:rsidP="00752693"/>
    <w:p w:rsidR="00752693" w:rsidRDefault="00752693" w:rsidP="00752693"/>
    <w:p w:rsidR="00752693" w:rsidRDefault="00752693" w:rsidP="00752693"/>
    <w:p w:rsidR="00752693" w:rsidRDefault="00752693" w:rsidP="00752693">
      <w:r>
        <w:t>BANCO DE MEXICO</w:t>
      </w:r>
    </w:p>
    <w:p w:rsidR="00752693" w:rsidRDefault="00752693" w:rsidP="00752693"/>
    <w:p w:rsidR="00752693" w:rsidRDefault="00752693" w:rsidP="00752693">
      <w:r>
        <w:t>Tipo de cambio para solventar obligaciones denominadas en moneda extranjera pagaderas en la</w:t>
      </w:r>
    </w:p>
    <w:p w:rsidR="00752693" w:rsidRDefault="00752693" w:rsidP="00752693">
      <w:r>
        <w:t>República Mexicana. ........................................................................................................................</w:t>
      </w:r>
      <w:r>
        <w:tab/>
        <w:t>218</w:t>
      </w:r>
    </w:p>
    <w:p w:rsidR="00752693" w:rsidRDefault="00752693" w:rsidP="00752693"/>
    <w:p w:rsidR="00752693" w:rsidRDefault="00752693" w:rsidP="00752693">
      <w:r>
        <w:t>Tasas de interés interbancarias de equilibrio. ..................................................................................</w:t>
      </w:r>
      <w:r>
        <w:tab/>
        <w:t>218</w:t>
      </w:r>
    </w:p>
    <w:p w:rsidR="00752693" w:rsidRDefault="00752693" w:rsidP="00752693"/>
    <w:p w:rsidR="00752693" w:rsidRDefault="00752693" w:rsidP="00752693">
      <w:r>
        <w:t>Tasa de interés interbancaria de equilibrio de fondeo a un día hábil bancario. ................................</w:t>
      </w:r>
      <w:r>
        <w:tab/>
        <w:t>218</w:t>
      </w:r>
    </w:p>
    <w:p w:rsidR="00752693" w:rsidRDefault="00752693" w:rsidP="00752693"/>
    <w:p w:rsidR="00752693" w:rsidRDefault="00752693" w:rsidP="00752693">
      <w:r>
        <w:t>COMISION NACIONAL DE LOS DERECHOS HUMANOS</w:t>
      </w:r>
    </w:p>
    <w:p w:rsidR="00752693" w:rsidRDefault="00752693" w:rsidP="00752693"/>
    <w:p w:rsidR="00752693" w:rsidRDefault="00752693" w:rsidP="00752693">
      <w:r>
        <w:t>Acuerdo mediante el cual el Órgano Interno de Control de la Comisión Nacional de los Derechos</w:t>
      </w:r>
    </w:p>
    <w:p w:rsidR="00752693" w:rsidRDefault="00752693" w:rsidP="00752693">
      <w:r>
        <w:t>Humanos, en uso de sus atribuciones, señala a las personas servidoras públicas del mismo que</w:t>
      </w:r>
    </w:p>
    <w:p w:rsidR="00752693" w:rsidRDefault="00752693" w:rsidP="00752693">
      <w:r>
        <w:t>podrán suplir en ausencias temporales a la persona Titular del Órgano Interno de Control. ...........</w:t>
      </w:r>
      <w:r>
        <w:tab/>
        <w:t>219</w:t>
      </w:r>
    </w:p>
    <w:p w:rsidR="00752693" w:rsidRDefault="00752693" w:rsidP="00752693"/>
    <w:p w:rsidR="00752693" w:rsidRDefault="00752693" w:rsidP="00752693">
      <w:r>
        <w:t>TRIBUNAL UNITARIO AGRARIO</w:t>
      </w:r>
    </w:p>
    <w:p w:rsidR="00752693" w:rsidRDefault="00752693" w:rsidP="00752693"/>
    <w:p w:rsidR="00752693" w:rsidRDefault="00752693" w:rsidP="00752693">
      <w:r>
        <w:t xml:space="preserve">Sentencia pronunciada en el juicio agrario número 992/2015, relativo a la acción agraria de reconocimiento y titulación de bienes comunales, promovido por la comunidad de Santo Domingo </w:t>
      </w:r>
      <w:proofErr w:type="spellStart"/>
      <w:r>
        <w:t>Yodohino</w:t>
      </w:r>
      <w:proofErr w:type="spellEnd"/>
      <w:r>
        <w:t>, municipio del mismo nombre, Distrito de Huajuapan, Oaxaca. .......................................</w:t>
      </w:r>
      <w:r>
        <w:tab/>
        <w:t>220</w:t>
      </w:r>
    </w:p>
    <w:p w:rsidR="00752693" w:rsidRDefault="00752693" w:rsidP="00752693"/>
    <w:p w:rsidR="00752693" w:rsidRDefault="00752693" w:rsidP="00752693">
      <w:r>
        <w:t>CONVOCATORIAS PARA CONCURSOS DE ADQUISICIONES, ARRENDAMIENTOS, OBRAS Y SERVICIOS DEL SECTOR PUBLICO</w:t>
      </w:r>
    </w:p>
    <w:p w:rsidR="00752693" w:rsidRDefault="00752693" w:rsidP="00752693"/>
    <w:p w:rsidR="00752693" w:rsidRDefault="00752693" w:rsidP="00752693">
      <w:r>
        <w:t>Licitaciones Públicas Nacionales e Internacionales. ........................................................................</w:t>
      </w:r>
      <w:r>
        <w:tab/>
        <w:t>232</w:t>
      </w:r>
    </w:p>
    <w:p w:rsidR="00752693" w:rsidRDefault="00752693" w:rsidP="00752693"/>
    <w:p w:rsidR="00752693" w:rsidRDefault="00752693" w:rsidP="00752693">
      <w:r>
        <w:t>AVISOS</w:t>
      </w:r>
    </w:p>
    <w:p w:rsidR="00752693" w:rsidRDefault="00752693" w:rsidP="00752693"/>
    <w:p w:rsidR="00752693" w:rsidRDefault="00752693" w:rsidP="00752693">
      <w:r>
        <w:t>Judiciales y generales. .....................................................................................................................</w:t>
      </w:r>
      <w:r>
        <w:tab/>
        <w:t>402</w:t>
      </w:r>
    </w:p>
    <w:sectPr w:rsidR="0075269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9A1" w:rsidRDefault="008909A1" w:rsidP="00752693">
      <w:pPr>
        <w:spacing w:after="0" w:line="240" w:lineRule="auto"/>
      </w:pPr>
      <w:r>
        <w:separator/>
      </w:r>
    </w:p>
  </w:endnote>
  <w:endnote w:type="continuationSeparator" w:id="0">
    <w:p w:rsidR="008909A1" w:rsidRDefault="008909A1" w:rsidP="0075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9A1" w:rsidRDefault="008909A1" w:rsidP="00752693">
      <w:pPr>
        <w:spacing w:after="0" w:line="240" w:lineRule="auto"/>
      </w:pPr>
      <w:r>
        <w:separator/>
      </w:r>
    </w:p>
  </w:footnote>
  <w:footnote w:type="continuationSeparator" w:id="0">
    <w:p w:rsidR="008909A1" w:rsidRDefault="008909A1" w:rsidP="00752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93" w:rsidRPr="00752693" w:rsidRDefault="00752693" w:rsidP="00752693">
    <w:pPr>
      <w:widowControl w:val="0"/>
      <w:tabs>
        <w:tab w:val="left" w:pos="3740"/>
        <w:tab w:val="left" w:pos="8280"/>
      </w:tabs>
      <w:autoSpaceDE w:val="0"/>
      <w:autoSpaceDN w:val="0"/>
      <w:adjustRightInd w:val="0"/>
      <w:spacing w:before="72" w:after="0" w:line="203" w:lineRule="exact"/>
      <w:ind w:left="267" w:right="-20"/>
      <w:rPr>
        <w:rFonts w:ascii="Times New Roman" w:hAnsi="Times New Roman"/>
        <w:sz w:val="18"/>
        <w:szCs w:val="18"/>
      </w:rPr>
    </w:pPr>
    <w:r>
      <w:rPr>
        <w:noProof/>
        <w:lang w:eastAsia="es-MX"/>
      </w:rPr>
      <mc:AlternateContent>
        <mc:Choice Requires="wpg">
          <w:drawing>
            <wp:anchor distT="0" distB="0" distL="114300" distR="114300" simplePos="0" relativeHeight="251659264" behindDoc="1" locked="0" layoutInCell="0" allowOverlap="1">
              <wp:simplePos x="0" y="0"/>
              <wp:positionH relativeFrom="page">
                <wp:posOffset>1236980</wp:posOffset>
              </wp:positionH>
              <wp:positionV relativeFrom="paragraph">
                <wp:posOffset>191770</wp:posOffset>
              </wp:positionV>
              <wp:extent cx="5297805" cy="28575"/>
              <wp:effectExtent l="0" t="0" r="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7805" cy="28575"/>
                        <a:chOff x="1948" y="302"/>
                        <a:chExt cx="8343" cy="45"/>
                      </a:xfrm>
                    </wpg:grpSpPr>
                    <wps:wsp>
                      <wps:cNvPr id="6" name="Freeform 2"/>
                      <wps:cNvSpPr>
                        <a:spLocks/>
                      </wps:cNvSpPr>
                      <wps:spPr bwMode="auto">
                        <a:xfrm>
                          <a:off x="1957" y="339"/>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
                      <wps:cNvSpPr>
                        <a:spLocks/>
                      </wps:cNvSpPr>
                      <wps:spPr bwMode="auto">
                        <a:xfrm>
                          <a:off x="1957" y="310"/>
                          <a:ext cx="8325" cy="0"/>
                        </a:xfrm>
                        <a:custGeom>
                          <a:avLst/>
                          <a:gdLst>
                            <a:gd name="T0" fmla="*/ 0 w 8325"/>
                            <a:gd name="T1" fmla="*/ 8325 w 8325"/>
                          </a:gdLst>
                          <a:ahLst/>
                          <a:cxnLst>
                            <a:cxn ang="0">
                              <a:pos x="T0" y="0"/>
                            </a:cxn>
                            <a:cxn ang="0">
                              <a:pos x="T1" y="0"/>
                            </a:cxn>
                          </a:cxnLst>
                          <a:rect l="0" t="0" r="r" b="b"/>
                          <a:pathLst>
                            <a:path w="8325">
                              <a:moveTo>
                                <a:pt x="0" y="0"/>
                              </a:moveTo>
                              <a:lnTo>
                                <a:pt x="832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F0E51" id="Grupo 5" o:spid="_x0000_s1026" style="position:absolute;margin-left:97.4pt;margin-top:15.1pt;width:417.15pt;height:2.25pt;z-index:-251657216;mso-position-horizontal-relative:page" coordorigin="1948,302" coordsize="8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EJhAMAAEQMAAAOAAAAZHJzL2Uyb0RvYy54bWzsVtuO2zYQfS/QfyD4GMAryZbXtrDeIPBl&#10;USBtA2T7AbREXVCJVEna8jbov3dmKHm1DooWKRIgwPpBpjTDuZyZOeTd23NTs5M0ttJqzaObkDOp&#10;Up1Vqljz3x73kyVn1gmViVorueZP0vK39z/+cNe1iZzqUteZNAyMKJt07ZqXzrVJENi0lI2wN7qV&#10;CoS5No1w8GqKIDOiA+tNHUzD8DbotMlao1NpLXzdeiG/J/t5LlP3a55b6Vi95hCbo6eh5wGfwf2d&#10;SAoj2rJK+zDEF0TRiEqB04uprXCCHU31mammSo22Onc3qW4CnedVKikHyCYKr7J5MPrYUi5F0hXt&#10;BSaA9gqnLzab/nL6YFiVrfmcMyUaKNGDObaazRGari0S0Hgw7cf2g/H5wfK9Tn+3IA6u5fheeGV2&#10;6H7WGZgTR6cJmnNuGjQBSbMzVeDpUgF5diyFj/PparEMIZQUZNPlfEFhiCQtoYy4K1rF0FEgnIVT&#10;X7y03PWbl7N45nfGtC0QifdJcfZxYVLQavYZTfv/0PxYilZSkSxi1aN5O6C5N1Ji+zIKF32D0oCm&#10;HUM5kqCaBcT/FcRoNV94OGYrD8eA5HI27WGkJr9gAVgerXuQmmohTu+t8zOQwYoqnPV98Ajzkjc1&#10;jMObgIWsY2SyVx50opEOykdq4LIYjIpy8JOeVe8IVkwgTYTUHq22WGD0OvQFWAAlDOofdMH7ta7f&#10;07swMP/Xk284g8k/eLRa4TAydIFL1q05ZYkfGn2Sj5pE7qphwcmztFZjLY/7KCovhh3oAGbGL8gp&#10;xjoqhtL7qq4J4FphKFEYRzGBY3VdZSjFcKwpDpvasJNAUqMfZgPWXqgBeaiMrJVSZLt+7URV+zXo&#10;1wQutEyPATYPsdanVbjaLXfLeBJPb3eTONxuJ+/2m3hyu48W8+1su9lso78wtChOyirLpMLoBgaN&#10;4v82Uz2Xe+67cOiLLF4ku6ff58kGL8MgLCCX4d+DPQyVZ4CDzp5gwIz2RwIcYbAotfmTsw6OgzW3&#10;fxyFkZzVPylgiFUUx3h+0Es8X0zhxYwlh7FEqBRMrbnj0OG43Dh/5hxbUxUleIqorEq/A3bMKxxB&#10;ICmb+Kj6FyCpb8RWwCGe+y9sNUOQvx5bRf3J+8pWSG399L2y1StbDVxMbIBXgO+LreimBVdVYt7+&#10;Wo134fE7sdvz5f/+bwAAAP//AwBQSwMEFAAGAAgAAAAhAA+TgtjgAAAACgEAAA8AAABkcnMvZG93&#10;bnJldi54bWxMj0FPwkAQhe8m/ofNmHiT3RZUqN0SQtQTIRFMiLehHdqG7m7TXdry7x1OenzzXt77&#10;Jl2OphE9db52VkM0USDI5q6obanhe//xNAfhA9oCG2dJw5U8LLP7uxSTwg32i/pdKAWXWJ+ghiqE&#10;NpHS5xUZ9BPXkmXv5DqDgWVXyqLDgctNI2OlXqTB2vJChS2tK8rPu4vR8DngsJpG7/3mfFpff/bP&#10;28MmIq0fH8bVG4hAY/gLww2f0SFjpqO72MKLhvVixuhBw1TFIG4BFS8iEEe+zF5BZqn8/0L2CwAA&#10;//8DAFBLAQItABQABgAIAAAAIQC2gziS/gAAAOEBAAATAAAAAAAAAAAAAAAAAAAAAABbQ29udGVu&#10;dF9UeXBlc10ueG1sUEsBAi0AFAAGAAgAAAAhADj9If/WAAAAlAEAAAsAAAAAAAAAAAAAAAAALwEA&#10;AF9yZWxzLy5yZWxzUEsBAi0AFAAGAAgAAAAhALywYQmEAwAARAwAAA4AAAAAAAAAAAAAAAAALgIA&#10;AGRycy9lMm9Eb2MueG1sUEsBAi0AFAAGAAgAAAAhAA+TgtjgAAAACgEAAA8AAAAAAAAAAAAAAAAA&#10;3gUAAGRycy9kb3ducmV2LnhtbFBLBQYAAAAABAAEAPMAAADrBgAAAAA=&#10;" o:allowincell="f">
              <v:shape id="Freeform 2" o:spid="_x0000_s1027" style="position:absolute;left:1957;top:339;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U8xAAAANoAAAAPAAAAZHJzL2Rvd25yZXYueG1sRI9Ba8JA&#10;FITvgv9heYI3s1HUttFVVBDqpagthd6e2WcSzb4N2a1Gf70rFHocZuYbZjpvTCkuVLvCsoJ+FIMg&#10;Tq0uOFPw9bnuvYJwHlljaZkU3MjBfNZuTTHR9so7uux9JgKEXYIKcu+rREqX5mTQRbYiDt7R1gZ9&#10;kHUmdY3XADelHMTxWBosOCzkWNEqp/S8/zUKTocBNmk5HP1sVm/L+8c6+6aXrVLdTrOYgPDU+P/w&#10;X/tdKxjD80q4AXL2AAAA//8DAFBLAQItABQABgAIAAAAIQDb4fbL7gAAAIUBAAATAAAAAAAAAAAA&#10;AAAAAAAAAABbQ29udGVudF9UeXBlc10ueG1sUEsBAi0AFAAGAAgAAAAhAFr0LFu/AAAAFQEAAAsA&#10;AAAAAAAAAAAAAAAAHwEAAF9yZWxzLy5yZWxzUEsBAi0AFAAGAAgAAAAhANqiJTzEAAAA2gAAAA8A&#10;AAAAAAAAAAAAAAAABwIAAGRycy9kb3ducmV2LnhtbFBLBQYAAAAAAwADALcAAAD4AgAAAAA=&#10;" path="m,l8325,e" filled="f" strokeweight=".82pt">
                <v:path arrowok="t" o:connecttype="custom" o:connectlocs="0,0;8325,0" o:connectangles="0,0"/>
              </v:shape>
              <v:shape id="Freeform 3" o:spid="_x0000_s1028" style="position:absolute;left:1957;top:310;width:8325;height: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oCnxQAAANoAAAAPAAAAZHJzL2Rvd25yZXYueG1sRI9Ba8JA&#10;FITvgv9heYI33Si2ttFVNBDQS2ltKfT2zD6TaPZtyK4a/fVdodDjMDPfMPNlaypxocaVlhWMhhEI&#10;4szqknMFX5/p4AWE88gaK8uk4EYOlotuZ46xtlf+oMvO5yJA2MWooPC+jqV0WUEG3dDWxME72Mag&#10;D7LJpW7wGuCmkuMoepYGSw4LBdaUFJSddmej4LgfY5tVk6efbfK6vr+l+TdN35Xq99rVDISn1v+H&#10;/9obrWAKjyvhBsjFLwAAAP//AwBQSwECLQAUAAYACAAAACEA2+H2y+4AAACFAQAAEwAAAAAAAAAA&#10;AAAAAAAAAAAAW0NvbnRlbnRfVHlwZXNdLnhtbFBLAQItABQABgAIAAAAIQBa9CxbvwAAABUBAAAL&#10;AAAAAAAAAAAAAAAAAB8BAABfcmVscy8ucmVsc1BLAQItABQABgAIAAAAIQC17oCnxQAAANoAAAAP&#10;AAAAAAAAAAAAAAAAAAcCAABkcnMvZG93bnJldi54bWxQSwUGAAAAAAMAAwC3AAAA+QIAAAAA&#10;" path="m,l8325,e" filled="f" strokeweight=".82pt">
                <v:path arrowok="t" o:connecttype="custom" o:connectlocs="0,0;8325,0" o:connectangles="0,0"/>
              </v:shape>
              <w10:wrap anchorx="page"/>
            </v:group>
          </w:pict>
        </mc:Fallback>
      </mc:AlternateContent>
    </w:r>
    <w:r>
      <w:rPr>
        <w:rFonts w:ascii="Times New Roman" w:hAnsi="Times New Roman"/>
        <w:position w:val="-1"/>
        <w:sz w:val="18"/>
        <w:szCs w:val="18"/>
      </w:rPr>
      <w:t>Martes</w:t>
    </w:r>
    <w:r>
      <w:rPr>
        <w:rFonts w:ascii="Times New Roman" w:hAnsi="Times New Roman"/>
        <w:spacing w:val="1"/>
        <w:position w:val="-1"/>
        <w:sz w:val="18"/>
        <w:szCs w:val="18"/>
      </w:rPr>
      <w:t xml:space="preserve"> </w:t>
    </w:r>
    <w:r>
      <w:rPr>
        <w:rFonts w:ascii="Times New Roman" w:hAnsi="Times New Roman"/>
        <w:position w:val="-1"/>
        <w:sz w:val="18"/>
        <w:szCs w:val="18"/>
      </w:rPr>
      <w:t>4</w:t>
    </w:r>
    <w:r>
      <w:rPr>
        <w:rFonts w:ascii="Times New Roman" w:hAnsi="Times New Roman"/>
        <w:spacing w:val="1"/>
        <w:position w:val="-1"/>
        <w:sz w:val="18"/>
        <w:szCs w:val="18"/>
      </w:rPr>
      <w:t xml:space="preserve"> </w:t>
    </w:r>
    <w:r>
      <w:rPr>
        <w:rFonts w:ascii="Times New Roman" w:hAnsi="Times New Roman"/>
        <w:spacing w:val="-1"/>
        <w:position w:val="-1"/>
        <w:sz w:val="18"/>
        <w:szCs w:val="18"/>
      </w:rPr>
      <w:t>d</w:t>
    </w:r>
    <w:r>
      <w:rPr>
        <w:rFonts w:ascii="Times New Roman" w:hAnsi="Times New Roman"/>
        <w:position w:val="-1"/>
        <w:sz w:val="18"/>
        <w:szCs w:val="18"/>
      </w:rPr>
      <w:t>e</w:t>
    </w:r>
    <w:r>
      <w:rPr>
        <w:rFonts w:ascii="Times New Roman" w:hAnsi="Times New Roman"/>
        <w:spacing w:val="1"/>
        <w:position w:val="-1"/>
        <w:sz w:val="18"/>
        <w:szCs w:val="18"/>
      </w:rPr>
      <w:t xml:space="preserve"> </w:t>
    </w:r>
    <w:r>
      <w:rPr>
        <w:rFonts w:ascii="Times New Roman" w:hAnsi="Times New Roman"/>
        <w:spacing w:val="-1"/>
        <w:position w:val="-1"/>
        <w:sz w:val="18"/>
        <w:szCs w:val="18"/>
      </w:rPr>
      <w:t>f</w:t>
    </w:r>
    <w:r>
      <w:rPr>
        <w:rFonts w:ascii="Times New Roman" w:hAnsi="Times New Roman"/>
        <w:spacing w:val="1"/>
        <w:position w:val="-1"/>
        <w:sz w:val="18"/>
        <w:szCs w:val="18"/>
      </w:rPr>
      <w:t>e</w:t>
    </w:r>
    <w:r>
      <w:rPr>
        <w:rFonts w:ascii="Times New Roman" w:hAnsi="Times New Roman"/>
        <w:position w:val="-1"/>
        <w:sz w:val="18"/>
        <w:szCs w:val="18"/>
      </w:rPr>
      <w:t>b</w:t>
    </w:r>
    <w:r>
      <w:rPr>
        <w:rFonts w:ascii="Times New Roman" w:hAnsi="Times New Roman"/>
        <w:spacing w:val="-1"/>
        <w:position w:val="-1"/>
        <w:sz w:val="18"/>
        <w:szCs w:val="18"/>
      </w:rPr>
      <w:t>r</w:t>
    </w:r>
    <w:r>
      <w:rPr>
        <w:rFonts w:ascii="Times New Roman" w:hAnsi="Times New Roman"/>
        <w:position w:val="-1"/>
        <w:sz w:val="18"/>
        <w:szCs w:val="18"/>
      </w:rPr>
      <w:t>ero</w:t>
    </w:r>
    <w:r>
      <w:rPr>
        <w:rFonts w:ascii="Times New Roman" w:hAnsi="Times New Roman"/>
        <w:spacing w:val="1"/>
        <w:position w:val="-1"/>
        <w:sz w:val="18"/>
        <w:szCs w:val="18"/>
      </w:rPr>
      <w:t xml:space="preserve"> </w:t>
    </w:r>
    <w:r>
      <w:rPr>
        <w:rFonts w:ascii="Times New Roman" w:hAnsi="Times New Roman"/>
        <w:position w:val="-1"/>
        <w:sz w:val="18"/>
        <w:szCs w:val="18"/>
      </w:rPr>
      <w:t>de</w:t>
    </w:r>
    <w:r>
      <w:rPr>
        <w:rFonts w:ascii="Times New Roman" w:hAnsi="Times New Roman"/>
        <w:spacing w:val="1"/>
        <w:position w:val="-1"/>
        <w:sz w:val="18"/>
        <w:szCs w:val="18"/>
      </w:rPr>
      <w:t xml:space="preserve"> </w:t>
    </w:r>
    <w:r>
      <w:rPr>
        <w:rFonts w:ascii="Times New Roman" w:hAnsi="Times New Roman"/>
        <w:position w:val="-1"/>
        <w:sz w:val="18"/>
        <w:szCs w:val="18"/>
      </w:rPr>
      <w:t>2020</w:t>
    </w:r>
    <w:r>
      <w:rPr>
        <w:rFonts w:ascii="Times New Roman" w:hAnsi="Times New Roman"/>
        <w:position w:val="-1"/>
        <w:sz w:val="18"/>
        <w:szCs w:val="18"/>
      </w:rPr>
      <w:tab/>
      <w:t>DIARIO</w:t>
    </w:r>
    <w:r>
      <w:rPr>
        <w:rFonts w:ascii="Times New Roman" w:hAnsi="Times New Roman"/>
        <w:spacing w:val="1"/>
        <w:position w:val="-1"/>
        <w:sz w:val="18"/>
        <w:szCs w:val="18"/>
      </w:rPr>
      <w:t xml:space="preserve"> </w:t>
    </w:r>
    <w:r>
      <w:rPr>
        <w:rFonts w:ascii="Times New Roman" w:hAnsi="Times New Roman"/>
        <w:position w:val="-1"/>
        <w:sz w:val="18"/>
        <w:szCs w:val="18"/>
      </w:rPr>
      <w:t>OFIC</w:t>
    </w:r>
    <w:r>
      <w:rPr>
        <w:rFonts w:ascii="Times New Roman" w:hAnsi="Times New Roman"/>
        <w:spacing w:val="1"/>
        <w:position w:val="-1"/>
        <w:sz w:val="18"/>
        <w:szCs w:val="18"/>
      </w:rPr>
      <w:t>I</w:t>
    </w:r>
    <w:r>
      <w:rPr>
        <w:rFonts w:ascii="Times New Roman" w:hAnsi="Times New Roman"/>
        <w:position w:val="-1"/>
        <w:sz w:val="18"/>
        <w:szCs w:val="18"/>
      </w:rPr>
      <w:t>AL</w:t>
    </w:r>
    <w:r>
      <w:rPr>
        <w:rFonts w:ascii="Times New Roman" w:hAnsi="Times New Roman"/>
        <w:position w:val="-1"/>
        <w:sz w:val="18"/>
        <w:szCs w:val="18"/>
      </w:rPr>
      <w:tab/>
      <w:t>417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3"/>
    <w:rsid w:val="00752693"/>
    <w:rsid w:val="008909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151C0"/>
  <w15:chartTrackingRefBased/>
  <w15:docId w15:val="{6FE368F8-79CF-48F2-B6AC-30A660EB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2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693"/>
  </w:style>
  <w:style w:type="paragraph" w:styleId="Piedepgina">
    <w:name w:val="footer"/>
    <w:basedOn w:val="Normal"/>
    <w:link w:val="PiedepginaCar"/>
    <w:uiPriority w:val="99"/>
    <w:unhideWhenUsed/>
    <w:rsid w:val="00752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1100</Words>
  <Characters>6056</Characters>
  <Application>Microsoft Office Word</Application>
  <DocSecurity>0</DocSecurity>
  <Lines>50</Lines>
  <Paragraphs>14</Paragraphs>
  <ScaleCrop>false</ScaleCrop>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1</cp:revision>
  <dcterms:created xsi:type="dcterms:W3CDTF">2020-02-04T15:44:00Z</dcterms:created>
  <dcterms:modified xsi:type="dcterms:W3CDTF">2020-02-04T15:46:00Z</dcterms:modified>
</cp:coreProperties>
</file>