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B47" w:rsidRPr="008B539C" w:rsidRDefault="00B73B47" w:rsidP="008B539C">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bookmarkEnd w:id="0"/>
      <w:r w:rsidRPr="008B539C">
        <w:rPr>
          <w:rFonts w:ascii="Times New Roman" w:eastAsia="Times New Roman" w:hAnsi="Times New Roman" w:cs="Times New Roman"/>
          <w:b/>
          <w:bCs/>
          <w:sz w:val="20"/>
          <w:szCs w:val="20"/>
          <w:lang w:eastAsia="es-MX"/>
        </w:rPr>
        <w:t>INDICE</w:t>
      </w:r>
    </w:p>
    <w:p w:rsidR="00B73B47" w:rsidRPr="008B539C" w:rsidRDefault="00B73B47" w:rsidP="008B539C">
      <w:pPr>
        <w:spacing w:after="0" w:line="326" w:lineRule="exact"/>
        <w:ind w:right="620"/>
        <w:jc w:val="center"/>
        <w:outlineLvl w:val="0"/>
        <w:rPr>
          <w:rFonts w:ascii="Times New Roman" w:eastAsia="Times New Roman" w:hAnsi="Times New Roman" w:cs="Times New Roman"/>
          <w:b/>
          <w:bCs/>
          <w:sz w:val="20"/>
          <w:szCs w:val="20"/>
          <w:lang w:eastAsia="es-MX"/>
        </w:rPr>
      </w:pPr>
      <w:r w:rsidRPr="008B539C">
        <w:rPr>
          <w:rFonts w:ascii="Times New Roman" w:eastAsia="Times New Roman" w:hAnsi="Times New Roman" w:cs="Times New Roman"/>
          <w:b/>
          <w:bCs/>
          <w:sz w:val="20"/>
          <w:szCs w:val="20"/>
          <w:lang w:eastAsia="es-MX"/>
        </w:rPr>
        <w:t>PODER EJECUTIVO</w:t>
      </w:r>
    </w:p>
    <w:p w:rsidR="00B73B47" w:rsidRDefault="00B73B47" w:rsidP="00D1186A">
      <w:pPr>
        <w:pStyle w:val="sum"/>
        <w:spacing w:line="326" w:lineRule="exact"/>
        <w:ind w:right="620"/>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SECRETARIA DE HACIENDA Y CREDITO PUBLICO</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Acuerdo por el que se dan a conocer los porcentajes y los montos del estímulo fiscal, así como </w:t>
      </w:r>
      <w:proofErr w:type="gramStart"/>
      <w:r w:rsidRPr="00D1186A">
        <w:rPr>
          <w:szCs w:val="18"/>
          <w:lang w:val="es-MX"/>
        </w:rPr>
        <w:t>las  cuotas</w:t>
      </w:r>
      <w:proofErr w:type="gramEnd"/>
      <w:r w:rsidRPr="00D1186A">
        <w:rPr>
          <w:szCs w:val="18"/>
          <w:lang w:val="es-MX"/>
        </w:rPr>
        <w:t xml:space="preserve">  disminuidas  del  impuesto  especial  sobre  producción  y  servicios  aplicables  a  los combustibles que se indican, correspondientes al periodo que se especifica.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Acuerdo por el cual se dan a conocer los montos de los estímulos fiscales aplicables a la </w:t>
      </w:r>
      <w:proofErr w:type="gramStart"/>
      <w:r w:rsidRPr="00D1186A">
        <w:rPr>
          <w:szCs w:val="18"/>
          <w:lang w:val="es-MX"/>
        </w:rPr>
        <w:t>enajenación  de</w:t>
      </w:r>
      <w:proofErr w:type="gramEnd"/>
      <w:r w:rsidRPr="00D1186A">
        <w:rPr>
          <w:szCs w:val="18"/>
          <w:lang w:val="es-MX"/>
        </w:rPr>
        <w:t xml:space="preserve">  gasolinas  en  la  región  fronteriza  con  los  Estados  Unidos  de  América, correspondientes al periodo que se especifica</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Circular Modificatoria 21/19 de la Única de Seguros y Fianzas.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SECRETARIA DE MEDIO AMBIENTE Y RECURSOS NATURALES</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Acuerdo de carácter general de conclusión parcial de emergencia por ocurrencia de sequía severa, extrema o excepcional en cuencas para el año 2019.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SECRETARIA DE ENERGIA</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Acuerdo por el que la Secretaría de Energía aprueba y publica la actualización de la Estrategia de Transición para Promover el Uso de Tecnologías y Combustibles más Limpios, en términos de</w:t>
      </w:r>
      <w:r w:rsidR="00D1186A">
        <w:rPr>
          <w:szCs w:val="18"/>
          <w:lang w:val="es-MX"/>
        </w:rPr>
        <w:t xml:space="preserve"> </w:t>
      </w:r>
      <w:r w:rsidRPr="00D1186A">
        <w:rPr>
          <w:szCs w:val="18"/>
          <w:lang w:val="es-MX"/>
        </w:rPr>
        <w:t xml:space="preserve">la Ley de Transición Energética.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SECRETARIA DE ECONOMIA</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Declaratoria de vigencia de la Norma Mexicana NMX-J-508-ANCE-2018.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Declaratoria de vigencia de la Norma Mexicana NMX-J-SSA-50001-ANCE-IMNC-2019.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Declaratoria de cancelación de la Norma Mexicana NMX-C-407-ONNCCE-2001.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Declaratoria de cancelación de la Norma Mexicana NMX-C-235-ONNCCE-2010.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SECRETARIA DE AGRICULTURA Y DESARROLLO RURAL</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lastRenderedPageBreak/>
        <w:t>Acuerdo por el que se dan a conocer las Reglas de Operación del Programa Producción para el</w:t>
      </w:r>
      <w:r w:rsidR="00D1186A">
        <w:rPr>
          <w:szCs w:val="18"/>
          <w:lang w:val="es-MX"/>
        </w:rPr>
        <w:t xml:space="preserve"> </w:t>
      </w:r>
      <w:r w:rsidRPr="00D1186A">
        <w:rPr>
          <w:szCs w:val="18"/>
          <w:lang w:val="es-MX"/>
        </w:rPr>
        <w:t xml:space="preserve">Bienestar de la Secretaría de Agricultura y Desarrollo Rural para el ejercicio fiscal 2020.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SECRETARIA DE LA FUNCION PUBLICA</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Circular por la que se comunica a las dependencias y entidades de la Administración Pública Federal, empresas productivas del Estado, así como a las entidades federativas, que deberán abstenerse de aceptar propuestas o celebrar contratos con la empresa Ingeniería y Control de Proyectos, S.A. de C.V.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SECRETARIA DE SALUD</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proofErr w:type="gramStart"/>
      <w:r w:rsidRPr="00D1186A">
        <w:rPr>
          <w:szCs w:val="18"/>
          <w:lang w:val="es-MX"/>
        </w:rPr>
        <w:t>Convenio  Específico</w:t>
      </w:r>
      <w:proofErr w:type="gramEnd"/>
      <w:r w:rsidRPr="00D1186A">
        <w:rPr>
          <w:szCs w:val="18"/>
          <w:lang w:val="es-MX"/>
        </w:rPr>
        <w:t xml:space="preserve">  en  materia  de  transferencia  de  recursos  federales  con  el  carácter  de subsidios  para  fortalecer  la  ejecución  y  desarrollo  del  programa  y  proyectos  federales  de Protección contra Riesgos Sanitarios, así como la Red Nacional de Laboratorios, que celebran la Secretaría d</w:t>
      </w:r>
      <w:r w:rsidR="00D1186A">
        <w:rPr>
          <w:szCs w:val="18"/>
          <w:lang w:val="es-MX"/>
        </w:rPr>
        <w:t xml:space="preserve">e Salud y el Estado de Puebla.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CENTRO NACIONAL DE CONTROL DE ENERGIA</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Acuerdo por el que se reforman los Lineamientos para la Integración y Funcionamiento del</w:t>
      </w:r>
      <w:r w:rsidR="00D1186A">
        <w:rPr>
          <w:szCs w:val="18"/>
          <w:lang w:val="es-MX"/>
        </w:rPr>
        <w:t xml:space="preserve"> </w:t>
      </w:r>
      <w:r w:rsidRPr="00D1186A">
        <w:rPr>
          <w:szCs w:val="18"/>
          <w:lang w:val="es-MX"/>
        </w:rPr>
        <w:t xml:space="preserve">Comité de Transparencia del CENACE. </w:t>
      </w:r>
      <w:r w:rsidR="00D1186A">
        <w:rPr>
          <w:szCs w:val="18"/>
          <w:lang w:val="es-MX"/>
        </w:rPr>
        <w:tab/>
      </w:r>
    </w:p>
    <w:p w:rsidR="00B73B47" w:rsidRDefault="00B73B47" w:rsidP="00D1186A">
      <w:pPr>
        <w:pStyle w:val="sum"/>
        <w:spacing w:line="326" w:lineRule="exact"/>
        <w:ind w:right="620"/>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INSTITUTO MEXICANO DEL SEGURO SOCIAL</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Acuerdo ACDO.AS2.HCT.290120/40.P.DIR, así como su Anexo Único, dictado por el Consejo Técnico en sesión ordinaria celebrada el día 29 de enero de 2020, relativo al Aviso mediante el cual se dan a conocer los costos de mano de obra por metro cuadrado para la obra privada, así como los factores (porcentajes) de mano de obra de los contratos regidos por la Ley de Obras</w:t>
      </w:r>
      <w:r w:rsidR="00D1186A">
        <w:rPr>
          <w:szCs w:val="18"/>
          <w:lang w:val="es-MX"/>
        </w:rPr>
        <w:t xml:space="preserve"> </w:t>
      </w:r>
      <w:r w:rsidRPr="00D1186A">
        <w:rPr>
          <w:szCs w:val="18"/>
          <w:lang w:val="es-MX"/>
        </w:rPr>
        <w:t xml:space="preserve">Públicas y Servicios Relacionados con las Mismas, vigentes a partir del 1 de febrero del 2020.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spacing w:after="0" w:line="326" w:lineRule="exact"/>
        <w:ind w:right="620"/>
        <w:jc w:val="center"/>
        <w:outlineLvl w:val="0"/>
        <w:rPr>
          <w:rFonts w:ascii="Times New Roman" w:eastAsia="Times New Roman" w:hAnsi="Times New Roman" w:cs="Times New Roman"/>
          <w:b/>
          <w:bCs/>
          <w:sz w:val="20"/>
          <w:szCs w:val="20"/>
          <w:lang w:eastAsia="es-MX"/>
        </w:rPr>
      </w:pPr>
    </w:p>
    <w:p w:rsidR="008B539C" w:rsidRPr="00D1186A" w:rsidRDefault="008B539C" w:rsidP="00D1186A">
      <w:pPr>
        <w:spacing w:after="0" w:line="326" w:lineRule="exact"/>
        <w:ind w:right="620"/>
        <w:jc w:val="center"/>
        <w:outlineLvl w:val="0"/>
        <w:rPr>
          <w:rFonts w:ascii="Times New Roman" w:eastAsia="Times New Roman" w:hAnsi="Times New Roman" w:cs="Times New Roman"/>
          <w:b/>
          <w:bCs/>
          <w:sz w:val="20"/>
          <w:szCs w:val="20"/>
          <w:lang w:eastAsia="es-MX"/>
        </w:rPr>
      </w:pPr>
      <w:r w:rsidRPr="00D1186A">
        <w:rPr>
          <w:rFonts w:ascii="Times New Roman" w:eastAsia="Times New Roman" w:hAnsi="Times New Roman" w:cs="Times New Roman"/>
          <w:b/>
          <w:bCs/>
          <w:sz w:val="20"/>
          <w:szCs w:val="20"/>
          <w:lang w:eastAsia="es-MX"/>
        </w:rPr>
        <w:t>PODER JUDICIAL</w:t>
      </w:r>
    </w:p>
    <w:p w:rsidR="008B539C" w:rsidRPr="00D1186A" w:rsidRDefault="008B539C" w:rsidP="00D1186A">
      <w:pPr>
        <w:spacing w:after="0" w:line="326" w:lineRule="exact"/>
        <w:ind w:right="620"/>
        <w:jc w:val="center"/>
        <w:outlineLvl w:val="0"/>
        <w:rPr>
          <w:rFonts w:ascii="Times New Roman" w:eastAsia="Times New Roman" w:hAnsi="Times New Roman" w:cs="Times New Roman"/>
          <w:b/>
          <w:bCs/>
          <w:sz w:val="20"/>
          <w:szCs w:val="20"/>
          <w:lang w:eastAsia="es-MX"/>
        </w:rPr>
      </w:pPr>
    </w:p>
    <w:p w:rsidR="00B73B47"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SUPREMA CORTE DE JUSTICIA DE LA NACION</w:t>
      </w:r>
    </w:p>
    <w:p w:rsidR="00D1186A" w:rsidRPr="008B539C" w:rsidRDefault="00D1186A" w:rsidP="008B539C">
      <w:pPr>
        <w:pStyle w:val="sum"/>
        <w:spacing w:line="326" w:lineRule="exact"/>
        <w:ind w:right="620"/>
        <w:rPr>
          <w:rFonts w:ascii="Times New Roman" w:hAnsi="Times New Roman" w:cs="Times New Roman"/>
          <w:b/>
          <w:sz w:val="20"/>
          <w:u w:val="single"/>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Acuerdo General número 1/2020, del Pleno de la Suprema Corte de Justicia de la Nación, por el que se levanta parcialmente el aplazamiento del dictado de la resolución en los amparos en revisión en los que subsistan el o los problemas de constitucionalidad de los artículos 2, fracción I, inciso I), 3, fracción XXIII, 4, 5, 5-A, 8, fracción I, inciso H), 10, 11, 13, fracción VIII, 14, 19, fracciones  II,  VI,  </w:t>
      </w:r>
      <w:r w:rsidRPr="00D1186A">
        <w:rPr>
          <w:szCs w:val="18"/>
          <w:lang w:val="es-MX"/>
        </w:rPr>
        <w:lastRenderedPageBreak/>
        <w:t>VIII,  X  y  XI,  y  cuarto  transitorio,  de  la  Ley  del  Impuesto  Especial  sobre Producción y Servicios, vigente a partir del primero de enero de dos mil catorce,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el once de diciembre de dos mil trece; relacionado con los diversos 11/2015, de diez de agosto de dos mil quince, 10/2017, de siete de agosto de dos mil diecisiete, y 5/2018, de veinticinco de</w:t>
      </w:r>
      <w:r w:rsidR="00D1186A">
        <w:rPr>
          <w:szCs w:val="18"/>
          <w:lang w:val="es-MX"/>
        </w:rPr>
        <w:t xml:space="preserve"> </w:t>
      </w:r>
      <w:r w:rsidRPr="00D1186A">
        <w:rPr>
          <w:szCs w:val="18"/>
          <w:lang w:val="es-MX"/>
        </w:rPr>
        <w:t xml:space="preserve">junio de dos mil dieciocho.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Sentencia dictada por el Tribunal Pleno de la Suprema Corte de Justicia de la Nación en la Acción de Inconstitucionalidad 71/2018 y su acumulada 75/2018, así como los Votos Particulares formulados por los Ministros Javier </w:t>
      </w:r>
      <w:proofErr w:type="spellStart"/>
      <w:r w:rsidRPr="00D1186A">
        <w:rPr>
          <w:szCs w:val="18"/>
          <w:lang w:val="es-MX"/>
        </w:rPr>
        <w:t>Laynez</w:t>
      </w:r>
      <w:proofErr w:type="spellEnd"/>
      <w:r w:rsidRPr="00D1186A">
        <w:rPr>
          <w:szCs w:val="18"/>
          <w:lang w:val="es-MX"/>
        </w:rPr>
        <w:t xml:space="preserve"> </w:t>
      </w:r>
      <w:proofErr w:type="spellStart"/>
      <w:r w:rsidRPr="00D1186A">
        <w:rPr>
          <w:szCs w:val="18"/>
          <w:lang w:val="es-MX"/>
        </w:rPr>
        <w:t>Potisek</w:t>
      </w:r>
      <w:proofErr w:type="spellEnd"/>
      <w:r w:rsidRPr="00D1186A">
        <w:rPr>
          <w:szCs w:val="18"/>
          <w:lang w:val="es-MX"/>
        </w:rPr>
        <w:t>, Luis María Aguilar Morales y Presidente Arturo Zaldívar Lelo de Larrea, y Concurrentes de los señores Ministros Juan Luis González</w:t>
      </w:r>
      <w:r w:rsidR="00D1186A">
        <w:rPr>
          <w:szCs w:val="18"/>
          <w:lang w:val="es-MX"/>
        </w:rPr>
        <w:t xml:space="preserve"> </w:t>
      </w:r>
      <w:r w:rsidRPr="00D1186A">
        <w:rPr>
          <w:szCs w:val="18"/>
          <w:lang w:val="es-MX"/>
        </w:rPr>
        <w:t xml:space="preserve">Alcántara </w:t>
      </w:r>
      <w:proofErr w:type="spellStart"/>
      <w:r w:rsidRPr="00D1186A">
        <w:rPr>
          <w:szCs w:val="18"/>
          <w:lang w:val="es-MX"/>
        </w:rPr>
        <w:t>Carrancá</w:t>
      </w:r>
      <w:proofErr w:type="spellEnd"/>
      <w:r w:rsidRPr="00D1186A">
        <w:rPr>
          <w:szCs w:val="18"/>
          <w:lang w:val="es-MX"/>
        </w:rPr>
        <w:t xml:space="preserve"> y Jorge Mario Pardo Rebolledo. </w:t>
      </w:r>
      <w:r w:rsidR="00D1186A">
        <w:rPr>
          <w:szCs w:val="18"/>
          <w:lang w:val="es-MX"/>
        </w:rPr>
        <w:tab/>
      </w:r>
    </w:p>
    <w:p w:rsidR="00B73B47" w:rsidRDefault="00B73B47" w:rsidP="00D1186A">
      <w:pPr>
        <w:pStyle w:val="sum"/>
        <w:spacing w:line="326" w:lineRule="exact"/>
        <w:ind w:right="620"/>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CONSEJO DE LA JUDICATURA FEDERAL</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Acuerdo del Titular del Instituto Federal de Defensoría Pública por el que se ordena la publicación </w:t>
      </w:r>
      <w:proofErr w:type="gramStart"/>
      <w:r w:rsidRPr="00D1186A">
        <w:rPr>
          <w:szCs w:val="18"/>
          <w:lang w:val="es-MX"/>
        </w:rPr>
        <w:t>del  Protocolo</w:t>
      </w:r>
      <w:proofErr w:type="gramEnd"/>
      <w:r w:rsidRPr="00D1186A">
        <w:rPr>
          <w:szCs w:val="18"/>
          <w:lang w:val="es-MX"/>
        </w:rPr>
        <w:t xml:space="preserve">  de  Actuación  para  Defensoras  y  Defensores  Públicos  ante  las  Agencias  del Ministerio Público de la Federación previo a la Judicialización de los Casos.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Aclaración al Acuerdo General 51/2018 del Pleno del Consejo de la Judicatura Federal, relativo a la denominación, residencia, jurisdicción territorial, domicilio, competencia y fecha de inicio de funciones  del  Primer  y  Segundo  Tribunales  Colegiados  en  Materia  de  Trabajo  del  Décimo Circuito, con residencia en Villahermosa, Tabasco; al cambio de denominación y competencia de los Tribunales Colegiados en materias Administrativa y de Trabajo; en materias Civil y de Trabajo; y en materias Penal y de Trabajo del Décimo Circuito, en ese Estado y sede; así como a las reglas de turno, sistema de recepción y distribución de asuntos entre los Tribunales Colegiados citados; y al cambio de denominación de la oficina de correspondencia común de los Tribunales Colegiados del Décimo Circuito en el mismo Estado y residencia; y que reforma el similar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w:t>
      </w:r>
      <w:r w:rsidR="00D1186A">
        <w:rPr>
          <w:szCs w:val="18"/>
          <w:lang w:val="es-MX"/>
        </w:rPr>
        <w:t xml:space="preserve"> </w:t>
      </w:r>
      <w:r w:rsidRPr="00D1186A">
        <w:rPr>
          <w:szCs w:val="18"/>
          <w:lang w:val="es-MX"/>
        </w:rPr>
        <w:t xml:space="preserve">de los juzgados de Distrito, publicado el 18 de diciembre de 2018. </w:t>
      </w:r>
      <w:r w:rsidR="00D1186A">
        <w:rPr>
          <w:szCs w:val="18"/>
          <w:lang w:val="es-MX"/>
        </w:rPr>
        <w:tab/>
      </w:r>
    </w:p>
    <w:p w:rsidR="00B73B47" w:rsidRPr="008B539C" w:rsidRDefault="00B73B47" w:rsidP="008B539C">
      <w:pPr>
        <w:pStyle w:val="sum"/>
        <w:spacing w:line="326" w:lineRule="exact"/>
        <w:ind w:right="620"/>
        <w:rPr>
          <w:rFonts w:ascii="Times New Roman" w:hAnsi="Times New Roman" w:cs="Times New Roman"/>
          <w:b/>
          <w:sz w:val="20"/>
          <w:u w:val="single"/>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BANCO DE MEXICO</w:t>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Tipo de cambio para solventar obligaciones denominadas en moneda extranjera pagaderas en la</w:t>
      </w:r>
      <w:r w:rsidR="00D1186A">
        <w:rPr>
          <w:szCs w:val="18"/>
          <w:lang w:val="es-MX"/>
        </w:rPr>
        <w:t xml:space="preserve"> </w:t>
      </w:r>
      <w:r w:rsidRPr="00D1186A">
        <w:rPr>
          <w:szCs w:val="18"/>
          <w:lang w:val="es-MX"/>
        </w:rPr>
        <w:t xml:space="preserve">República Mexicana.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Tasas de interés interbancarias de equilibrio.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Tasa de interés interbancaria de equilibrio de fondeo a un día hábil bancario. </w:t>
      </w:r>
      <w:r w:rsidR="00D1186A">
        <w:rPr>
          <w:szCs w:val="18"/>
          <w:lang w:val="es-MX"/>
        </w:rPr>
        <w:tab/>
      </w:r>
    </w:p>
    <w:p w:rsidR="00B73B47" w:rsidRPr="00D1186A" w:rsidRDefault="00B73B47" w:rsidP="00D1186A">
      <w:pPr>
        <w:pStyle w:val="sum"/>
        <w:spacing w:line="326" w:lineRule="exact"/>
        <w:ind w:right="620"/>
        <w:rPr>
          <w:szCs w:val="18"/>
          <w:lang w:val="es-MX"/>
        </w:rPr>
      </w:pPr>
    </w:p>
    <w:p w:rsidR="00B73B47" w:rsidRPr="00D1186A" w:rsidRDefault="00B73B47" w:rsidP="00D1186A">
      <w:pPr>
        <w:pStyle w:val="sum"/>
        <w:spacing w:line="326" w:lineRule="exact"/>
        <w:ind w:right="620"/>
        <w:rPr>
          <w:szCs w:val="18"/>
          <w:lang w:val="es-MX"/>
        </w:rPr>
      </w:pPr>
      <w:r w:rsidRPr="00D1186A">
        <w:rPr>
          <w:szCs w:val="18"/>
          <w:lang w:val="es-MX"/>
        </w:rPr>
        <w:t xml:space="preserve">Equivalencia de las monedas de diversos países con el dólar de los Estados Unidos de América, correspondiente al mes de enero de 2020. </w:t>
      </w:r>
      <w:r w:rsidR="00D1186A">
        <w:rPr>
          <w:szCs w:val="18"/>
          <w:lang w:val="es-MX"/>
        </w:rPr>
        <w:tab/>
      </w:r>
    </w:p>
    <w:p w:rsidR="00B73B47" w:rsidRPr="00D1186A" w:rsidRDefault="00B73B47" w:rsidP="008B539C">
      <w:pPr>
        <w:pStyle w:val="sum"/>
        <w:spacing w:line="326" w:lineRule="exact"/>
        <w:ind w:right="620"/>
        <w:rPr>
          <w:szCs w:val="18"/>
          <w:lang w:val="es-MX"/>
        </w:rPr>
      </w:pPr>
    </w:p>
    <w:p w:rsidR="00B73B47" w:rsidRPr="008B539C" w:rsidRDefault="00B73B47" w:rsidP="008B539C">
      <w:pPr>
        <w:pStyle w:val="sum"/>
        <w:spacing w:line="326" w:lineRule="exact"/>
        <w:ind w:right="620"/>
        <w:rPr>
          <w:rFonts w:ascii="Times New Roman" w:hAnsi="Times New Roman" w:cs="Times New Roman"/>
          <w:b/>
          <w:sz w:val="20"/>
          <w:u w:val="single"/>
          <w:lang w:val="es-MX"/>
        </w:rPr>
      </w:pPr>
      <w:r w:rsidRPr="008B539C">
        <w:rPr>
          <w:rFonts w:ascii="Times New Roman" w:hAnsi="Times New Roman" w:cs="Times New Roman"/>
          <w:b/>
          <w:sz w:val="20"/>
          <w:u w:val="single"/>
          <w:lang w:val="es-MX"/>
        </w:rPr>
        <w:t>AVISOS</w:t>
      </w:r>
    </w:p>
    <w:p w:rsidR="00B73B47" w:rsidRPr="00D1186A" w:rsidRDefault="00B73B47" w:rsidP="00D1186A">
      <w:pPr>
        <w:pStyle w:val="sum"/>
        <w:spacing w:line="326" w:lineRule="exact"/>
        <w:ind w:right="620"/>
        <w:rPr>
          <w:szCs w:val="18"/>
          <w:lang w:val="es-MX"/>
        </w:rPr>
      </w:pPr>
    </w:p>
    <w:p w:rsidR="004F3AE1" w:rsidRPr="00D1186A" w:rsidRDefault="00B73B47" w:rsidP="00D1186A">
      <w:pPr>
        <w:pStyle w:val="sum"/>
        <w:spacing w:line="326" w:lineRule="exact"/>
        <w:ind w:right="620"/>
        <w:rPr>
          <w:szCs w:val="18"/>
          <w:lang w:val="es-MX"/>
        </w:rPr>
      </w:pPr>
      <w:r w:rsidRPr="00D1186A">
        <w:rPr>
          <w:szCs w:val="18"/>
          <w:lang w:val="es-MX"/>
        </w:rPr>
        <w:t xml:space="preserve">Judiciales y generales. </w:t>
      </w:r>
      <w:r w:rsidR="00D1186A">
        <w:rPr>
          <w:szCs w:val="18"/>
          <w:lang w:val="es-MX"/>
        </w:rPr>
        <w:tab/>
      </w:r>
    </w:p>
    <w:sectPr w:rsidR="004F3AE1" w:rsidRPr="00D1186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E8F" w:rsidRDefault="003B6E8F" w:rsidP="00B73B47">
      <w:pPr>
        <w:spacing w:after="0" w:line="240" w:lineRule="auto"/>
      </w:pPr>
      <w:r>
        <w:separator/>
      </w:r>
    </w:p>
  </w:endnote>
  <w:endnote w:type="continuationSeparator" w:id="0">
    <w:p w:rsidR="003B6E8F" w:rsidRDefault="003B6E8F" w:rsidP="00B7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E8F" w:rsidRDefault="003B6E8F" w:rsidP="00B73B47">
      <w:pPr>
        <w:spacing w:after="0" w:line="240" w:lineRule="auto"/>
      </w:pPr>
      <w:r>
        <w:separator/>
      </w:r>
    </w:p>
  </w:footnote>
  <w:footnote w:type="continuationSeparator" w:id="0">
    <w:p w:rsidR="003B6E8F" w:rsidRDefault="003B6E8F" w:rsidP="00B7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B47" w:rsidRPr="00B73B47" w:rsidRDefault="00B73B47" w:rsidP="00B73B47">
    <w:pPr>
      <w:pStyle w:val="Fechas"/>
      <w:pBdr>
        <w:bottom w:val="double" w:sz="6" w:space="2" w:color="auto"/>
      </w:pBdr>
      <w:rPr>
        <w:rFonts w:cs="Times New Roman"/>
      </w:rPr>
    </w:pPr>
    <w:r>
      <w:t>Viernes 7 de febrero de 2020</w:t>
    </w:r>
    <w:r w:rsidRPr="00ED705D">
      <w:rPr>
        <w:rFonts w:cs="Times New Roman"/>
      </w:rPr>
      <w:tab/>
      <w:t>DIARIO OFICIAL</w:t>
    </w:r>
    <w:r w:rsidRPr="00ED705D">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47"/>
    <w:rsid w:val="003B6E8F"/>
    <w:rsid w:val="004F3AE1"/>
    <w:rsid w:val="008B539C"/>
    <w:rsid w:val="00AE0630"/>
    <w:rsid w:val="00B73B47"/>
    <w:rsid w:val="00D1186A"/>
    <w:rsid w:val="00D46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47277"/>
  <w15:chartTrackingRefBased/>
  <w15:docId w15:val="{C172A238-241F-4154-800D-13EE6A9E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B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B47"/>
  </w:style>
  <w:style w:type="paragraph" w:styleId="Piedepgina">
    <w:name w:val="footer"/>
    <w:basedOn w:val="Normal"/>
    <w:link w:val="PiedepginaCar"/>
    <w:uiPriority w:val="99"/>
    <w:unhideWhenUsed/>
    <w:rsid w:val="00B73B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B47"/>
  </w:style>
  <w:style w:type="paragraph" w:customStyle="1" w:styleId="Fechas">
    <w:name w:val="Fechas"/>
    <w:basedOn w:val="Normal"/>
    <w:rsid w:val="00B73B47"/>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customStyle="1" w:styleId="sum">
    <w:name w:val="sum"/>
    <w:basedOn w:val="Normal"/>
    <w:link w:val="sumCar"/>
    <w:rsid w:val="008B539C"/>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8B539C"/>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D118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1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1026</Words>
  <Characters>5647</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4</cp:revision>
  <cp:lastPrinted>2020-02-07T16:12:00Z</cp:lastPrinted>
  <dcterms:created xsi:type="dcterms:W3CDTF">2020-02-07T15:58:00Z</dcterms:created>
  <dcterms:modified xsi:type="dcterms:W3CDTF">2020-02-07T16:12:00Z</dcterms:modified>
</cp:coreProperties>
</file>