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7D" w:rsidRPr="00AE2EB8" w:rsidRDefault="00B11096" w:rsidP="00AE2EB8">
      <w:pPr>
        <w:spacing w:after="0" w:line="326" w:lineRule="exact"/>
        <w:ind w:right="620"/>
        <w:jc w:val="center"/>
        <w:outlineLvl w:val="0"/>
        <w:rPr>
          <w:rFonts w:ascii="Times New Roman" w:eastAsia="Times New Roman" w:hAnsi="Times New Roman" w:cs="Times New Roman"/>
          <w:b/>
          <w:bCs/>
          <w:sz w:val="20"/>
          <w:szCs w:val="20"/>
          <w:lang w:eastAsia="es-MX"/>
        </w:rPr>
      </w:pPr>
      <w:r w:rsidRPr="00AE2EB8">
        <w:rPr>
          <w:rFonts w:ascii="Times New Roman" w:eastAsia="Times New Roman" w:hAnsi="Times New Roman" w:cs="Times New Roman"/>
          <w:b/>
          <w:bCs/>
          <w:sz w:val="20"/>
          <w:szCs w:val="20"/>
          <w:lang w:eastAsia="es-MX"/>
        </w:rPr>
        <w:t>INDICE</w:t>
      </w:r>
    </w:p>
    <w:p w:rsidR="00B11096" w:rsidRPr="00AE2EB8" w:rsidRDefault="00B11096" w:rsidP="00AE2EB8">
      <w:pPr>
        <w:spacing w:after="0" w:line="326" w:lineRule="exact"/>
        <w:ind w:right="620"/>
        <w:jc w:val="center"/>
        <w:outlineLvl w:val="0"/>
        <w:rPr>
          <w:rFonts w:ascii="Times New Roman" w:eastAsia="Times New Roman" w:hAnsi="Times New Roman" w:cs="Times New Roman"/>
          <w:b/>
          <w:bCs/>
          <w:sz w:val="20"/>
          <w:szCs w:val="20"/>
          <w:lang w:eastAsia="es-MX"/>
        </w:rPr>
      </w:pPr>
      <w:r w:rsidRPr="00AE2EB8">
        <w:rPr>
          <w:rFonts w:ascii="Times New Roman" w:eastAsia="Times New Roman" w:hAnsi="Times New Roman" w:cs="Times New Roman"/>
          <w:b/>
          <w:bCs/>
          <w:sz w:val="20"/>
          <w:szCs w:val="20"/>
          <w:lang w:eastAsia="es-MX"/>
        </w:rPr>
        <w:t>PODER EJECUTIVO</w:t>
      </w:r>
    </w:p>
    <w:p w:rsidR="00BC22F1" w:rsidRPr="00930A0A" w:rsidRDefault="00BC22F1" w:rsidP="00AE2EB8">
      <w:pPr>
        <w:pStyle w:val="sum"/>
        <w:spacing w:line="326" w:lineRule="exact"/>
        <w:ind w:right="620"/>
        <w:rPr>
          <w:b/>
          <w:szCs w:val="18"/>
          <w:u w:val="single"/>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SECRETARÍA DE GOBERNACIÓN</w:t>
      </w:r>
      <w:bookmarkStart w:id="0" w:name="_GoBack"/>
      <w:bookmarkEnd w:id="0"/>
    </w:p>
    <w:p w:rsidR="00AA1651" w:rsidRPr="00AE2EB8" w:rsidRDefault="00AA1651" w:rsidP="00AE2EB8">
      <w:pPr>
        <w:pStyle w:val="sum"/>
        <w:spacing w:line="326" w:lineRule="exact"/>
        <w:ind w:right="620"/>
        <w:rPr>
          <w:rFonts w:ascii="Times New Roman" w:hAnsi="Times New Roman" w:cs="Times New Roman"/>
          <w:b/>
          <w:sz w:val="20"/>
          <w:u w:val="single"/>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Iglesia Cristiana Mundial Transformando Vidas para Cristo Emmanuel, para constituirse en asociación religiosa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Iglesia Bautista Fundamental Betel Casa de Dios, para constituirse en asociación religiosa.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Templo Levántate Jerusalén, para constituirse en asociación religiosa.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Iglesia Bautista Vida Nueva de la Colonia San Pablo, para constituirse en asociación religiosa.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 xml:space="preserve">Extracto de la solicitud de registro de la entidad interna denominada Iglesia del Nazareno en México Primera de </w:t>
      </w:r>
      <w:proofErr w:type="spellStart"/>
      <w:r w:rsidRPr="00AE2EB8">
        <w:rPr>
          <w:szCs w:val="18"/>
          <w:lang w:val="es-MX"/>
        </w:rPr>
        <w:t>Villaflores</w:t>
      </w:r>
      <w:proofErr w:type="spellEnd"/>
      <w:r w:rsidRPr="00AE2EB8">
        <w:rPr>
          <w:szCs w:val="18"/>
          <w:lang w:val="es-MX"/>
        </w:rPr>
        <w:t>, para constituirse en asociación religiosa; derivada de Iglesia del Nazareno en México, A.R.</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entidad interna denominada Iglesia del Nazareno Sexta TGZ, para constituirse en asociación religiosa; derivada de Iglesia del Nazareno en México, A.R.</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Ministerio Buenas Nuevas en México para las Naciones, para constituirse en asociación religiosa.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entidad interna denominada Iglesia Nacional Presbiteriana Jesús la Vid Verdadera, para constituirse en asociación religiosa; derivada de Iglesia Nacional Presbiteriana de México, A.R.</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Extracto de la solicitud de registro de la agrupación denominada Iglesias Pentecostales A &amp; O en México Apocalipsis 22:13, 14, para constituirse en asociación religiosa</w:t>
      </w:r>
      <w:proofErr w:type="gramStart"/>
      <w:r w:rsidRPr="00AE2EB8">
        <w:rPr>
          <w:szCs w:val="18"/>
          <w:lang w:val="es-MX"/>
        </w:rPr>
        <w:t>. .</w:t>
      </w:r>
      <w:proofErr w:type="gramEnd"/>
    </w:p>
    <w:p w:rsidR="00B11096" w:rsidRPr="00AE2EB8" w:rsidRDefault="00B11096" w:rsidP="00AE2EB8">
      <w:pPr>
        <w:pStyle w:val="sum"/>
        <w:spacing w:line="326" w:lineRule="exact"/>
        <w:ind w:right="620"/>
        <w:rPr>
          <w:rFonts w:ascii="Times New Roman" w:hAnsi="Times New Roman" w:cs="Times New Roman"/>
          <w:b/>
          <w:sz w:val="20"/>
          <w:u w:val="single"/>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SECRETARIA DE SEGURIDAD Y PROTECCION CIUDADANA</w:t>
      </w:r>
    </w:p>
    <w:p w:rsidR="00B11096" w:rsidRPr="00AE2EB8" w:rsidRDefault="00B11096" w:rsidP="00AE2EB8">
      <w:pPr>
        <w:pStyle w:val="sum"/>
        <w:spacing w:line="326" w:lineRule="exact"/>
        <w:ind w:right="620"/>
        <w:rPr>
          <w:rFonts w:ascii="Times New Roman" w:hAnsi="Times New Roman" w:cs="Times New Roman"/>
          <w:b/>
          <w:sz w:val="20"/>
          <w:u w:val="single"/>
          <w:lang w:val="es-MX"/>
        </w:rPr>
      </w:pPr>
    </w:p>
    <w:p w:rsidR="00B11096" w:rsidRPr="00AE2EB8" w:rsidRDefault="00B11096" w:rsidP="00AE2EB8">
      <w:pPr>
        <w:pStyle w:val="sum"/>
        <w:spacing w:line="326" w:lineRule="exact"/>
        <w:ind w:right="620"/>
        <w:rPr>
          <w:szCs w:val="18"/>
          <w:lang w:val="es-MX"/>
        </w:rPr>
      </w:pPr>
      <w:r w:rsidRPr="00AE2EB8">
        <w:rPr>
          <w:szCs w:val="18"/>
          <w:lang w:val="es-MX"/>
        </w:rPr>
        <w:t>Acuerdo por el que se delegan facultades del Titular del Secretariado Ejecutivo del Sistema Nacional de Seguridad Pública, a favor del Director General de Asuntos Jurídicos.</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lastRenderedPageBreak/>
        <w:t>SECRETARÍA DE ENERGÍA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Respuesta a los comentarios recibidos durante el proceso de consulta pública del Proyecto de Norma Oficial Mexicana PROY-NOM-003-NUCL-2018, Clasificación de instalaciones que utilizan fuentes abiertas, publicado el 15 de febrero de 2019.</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SECRETARÍA DE LA FUNCIÓN PÚBLICA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 xml:space="preserve">Circular por la que se comunica a las dependencias, Fiscalía General de la República y entidades de la Administración Pública Federal, empresas productivas del Estado, así como a las entidades federativas, que deberán abstenerse de aceptar propuestas o celebrar contratos con la empresa Corporativo </w:t>
      </w:r>
      <w:proofErr w:type="spellStart"/>
      <w:r w:rsidRPr="00AE2EB8">
        <w:rPr>
          <w:szCs w:val="18"/>
          <w:lang w:val="es-MX"/>
        </w:rPr>
        <w:t>Cymaz</w:t>
      </w:r>
      <w:proofErr w:type="spellEnd"/>
      <w:r w:rsidRPr="00AE2EB8">
        <w:rPr>
          <w:szCs w:val="18"/>
          <w:lang w:val="es-MX"/>
        </w:rPr>
        <w:t xml:space="preserve"> S.A. de C.V.</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Cato Servicios, S.A. de C.V.</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Circular por la que se comunica a las dependencias, Fiscalía General de la República y entidades de la Administración Pública Federal, así como a las entidades federativas, que se dejó sin efectos la resolución emitida el veinte de julio de dos mil diecisiete, mediante la cual se impuso al contratista Arturo Muñoz Salazar, sanción administrativa y multa, en cumplimento a la sentencia definitiva emitida por el Juzgado Decimosexto de Distrito en Materia Administrativa en la Ciudad de México, en el Juicio de Amparo 1106/2019.</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SECRETARÍA DE SALUD</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Convenio Específico de Colaboración en materia de transferencia de recursos presupuestarios federales con el carácter de subsidios provenientes del Programa Nacional de Reconstrucción, para acciones de Rehabilitación y Reconstrucción de Infraestructura y Equipamiento de Salud, que celebran la Secretaría de Salud y el Estado de Guerrero.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Tercer Convenio Modificatorio al Convenio Específico en materia de ministración de subsidios para el fortalecimiento de acciones de salud pública en las entidades federativas, que celebran la Secretaría de Salud y el Estado de Aguascalientes.</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SECRETARÍA DEL TRABAJO Y PREVISIÓN SOCIAL</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lastRenderedPageBreak/>
        <w:t>Reglas de Operación del Programa Jóvenes Construyendo el Futuro.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SECRETARÍA DE DESARROLLO AGRARIO, TERRITORIAL Y URBANO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Manual General de Organización del Instituto Nacional del Suelo Sustentable.</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INSTITUTO DE SEGURIDAD Y SERVICIOS SOCIALES DE LOS TRABAJADORES DEL ESTADO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Calendario de presupuesto autorizado al Instituto de Seguridad y Servicios Sociales de los Trabajadores del Estado para el ejercicio fiscal 2020.</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SUPREMA CORTE DE JUSTICIA DE LA NACIÓN</w:t>
      </w:r>
    </w:p>
    <w:p w:rsidR="00AA1651" w:rsidRPr="00AE2EB8" w:rsidRDefault="00AA1651"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Sentencia dictada por el Tribunal Pleno de la Suprema Corte de Justicia de la Nación en la Acción de Inconstitucionalidad 30/2017, así como los Votos Concurrentes formulados por los Ministros José Fernando Franco González Salas, Jorge Mario Pardo Rebolledo y Luis María Aguilar Morales.</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BANCO DE MÉXICO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Tipo de cambio para solventar obligaciones denominadas en moneda extranjera pagaderas en la República Mexicana.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Tasas de interés interbancarias de equilibrio.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Tasa de interés interbancaria de equilibrio de fondeo a un día hábil bancario.</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Valor de la unidad de inversión.</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INSTITUTO FEDERAL DE TELECOMUNICACIONES</w:t>
      </w:r>
    </w:p>
    <w:p w:rsidR="00B11096" w:rsidRPr="00AE2EB8" w:rsidRDefault="00B11096" w:rsidP="00AE2EB8">
      <w:pPr>
        <w:pStyle w:val="sum"/>
        <w:spacing w:line="326" w:lineRule="exact"/>
        <w:ind w:right="620"/>
        <w:rPr>
          <w:rFonts w:ascii="Times New Roman" w:hAnsi="Times New Roman" w:cs="Times New Roman"/>
          <w:b/>
          <w:sz w:val="20"/>
          <w:u w:val="single"/>
          <w:lang w:val="es-MX"/>
        </w:rPr>
      </w:pPr>
    </w:p>
    <w:p w:rsidR="00B11096" w:rsidRPr="00AE2EB8" w:rsidRDefault="00B11096" w:rsidP="00AE2EB8">
      <w:pPr>
        <w:pStyle w:val="sum"/>
        <w:spacing w:line="326" w:lineRule="exact"/>
        <w:ind w:right="620"/>
        <w:rPr>
          <w:szCs w:val="18"/>
          <w:lang w:val="es-MX"/>
        </w:rPr>
      </w:pPr>
      <w:r w:rsidRPr="00AE2EB8">
        <w:rPr>
          <w:szCs w:val="18"/>
          <w:lang w:val="es-MX"/>
        </w:rPr>
        <w:t>Aviso mediante el cual se informa de la publicación en la página web del Instituto Federal de Telecomunicaciones de los Lineamientos para la solicitud, pago y comprobación de viáticos y transportación en el desempeño de comisiones oficiales del Instituto Federal de Telecomunicaciones.</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INSTITUTO NACIONAL DE ESTADISTICAS Y GEOGRAFIA</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szCs w:val="18"/>
          <w:lang w:val="es-MX"/>
        </w:rPr>
      </w:pPr>
      <w:r w:rsidRPr="00AE2EB8">
        <w:rPr>
          <w:szCs w:val="18"/>
          <w:lang w:val="es-MX"/>
        </w:rPr>
        <w:t>Índice nacional de precios al consumidor.</w:t>
      </w:r>
    </w:p>
    <w:p w:rsidR="00B11096" w:rsidRPr="00AE2EB8" w:rsidRDefault="00B11096" w:rsidP="00AE2EB8">
      <w:pPr>
        <w:pStyle w:val="sum"/>
        <w:spacing w:line="326" w:lineRule="exact"/>
        <w:ind w:right="620"/>
        <w:rPr>
          <w:szCs w:val="18"/>
          <w:lang w:val="es-MX"/>
        </w:rPr>
      </w:pPr>
    </w:p>
    <w:p w:rsidR="00B11096" w:rsidRPr="00AE2EB8" w:rsidRDefault="00B11096" w:rsidP="00AE2EB8">
      <w:pPr>
        <w:pStyle w:val="sum"/>
        <w:spacing w:line="326" w:lineRule="exact"/>
        <w:ind w:right="620"/>
        <w:rPr>
          <w:rFonts w:ascii="Times New Roman" w:hAnsi="Times New Roman" w:cs="Times New Roman"/>
          <w:b/>
          <w:sz w:val="20"/>
          <w:u w:val="single"/>
          <w:lang w:val="es-MX"/>
        </w:rPr>
      </w:pPr>
      <w:r w:rsidRPr="00AE2EB8">
        <w:rPr>
          <w:rFonts w:ascii="Times New Roman" w:hAnsi="Times New Roman" w:cs="Times New Roman"/>
          <w:b/>
          <w:sz w:val="20"/>
          <w:u w:val="single"/>
          <w:lang w:val="es-MX"/>
        </w:rPr>
        <w:t>AVISOS</w:t>
      </w:r>
    </w:p>
    <w:p w:rsidR="00B11096" w:rsidRPr="00AE2EB8" w:rsidRDefault="00B11096" w:rsidP="00AE2EB8">
      <w:pPr>
        <w:pStyle w:val="sum"/>
        <w:spacing w:line="326" w:lineRule="exact"/>
        <w:ind w:right="620"/>
        <w:rPr>
          <w:szCs w:val="18"/>
          <w:lang w:val="es-MX"/>
        </w:rPr>
      </w:pPr>
    </w:p>
    <w:p w:rsidR="00AA1651" w:rsidRPr="00AE2EB8" w:rsidRDefault="00B11096" w:rsidP="00AE2EB8">
      <w:pPr>
        <w:pStyle w:val="sum"/>
        <w:spacing w:line="326" w:lineRule="exact"/>
        <w:ind w:right="620"/>
        <w:rPr>
          <w:szCs w:val="18"/>
          <w:lang w:val="es-MX"/>
        </w:rPr>
      </w:pPr>
      <w:r w:rsidRPr="00AE2EB8">
        <w:rPr>
          <w:szCs w:val="18"/>
          <w:lang w:val="es-MX"/>
        </w:rPr>
        <w:t>Judiciales Y generales</w:t>
      </w:r>
    </w:p>
    <w:sectPr w:rsidR="00AA1651" w:rsidRPr="00AE2EB8" w:rsidSect="00DA46B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20" w:rsidRDefault="00D61520" w:rsidP="00B11096">
      <w:pPr>
        <w:spacing w:after="0"/>
      </w:pPr>
      <w:r>
        <w:separator/>
      </w:r>
    </w:p>
  </w:endnote>
  <w:endnote w:type="continuationSeparator" w:id="0">
    <w:p w:rsidR="00D61520" w:rsidRDefault="00D61520" w:rsidP="00B11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20" w:rsidRDefault="00D61520" w:rsidP="00B11096">
      <w:pPr>
        <w:spacing w:after="0"/>
      </w:pPr>
      <w:r>
        <w:separator/>
      </w:r>
    </w:p>
  </w:footnote>
  <w:footnote w:type="continuationSeparator" w:id="0">
    <w:p w:rsidR="00D61520" w:rsidRDefault="00D61520" w:rsidP="00B11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5" w:type="dxa"/>
      <w:tblLook w:val="04A0" w:firstRow="1" w:lastRow="0" w:firstColumn="1" w:lastColumn="0" w:noHBand="0" w:noVBand="1"/>
    </w:tblPr>
    <w:tblGrid>
      <w:gridCol w:w="8828"/>
    </w:tblGrid>
    <w:tr w:rsidR="00DC632B" w:rsidTr="00DC632B">
      <w:trPr>
        <w:trHeight w:val="278"/>
      </w:trPr>
      <w:tc>
        <w:tcPr>
          <w:tcW w:w="8828" w:type="dxa"/>
          <w:tcBorders>
            <w:top w:val="nil"/>
            <w:left w:val="nil"/>
            <w:bottom w:val="double" w:sz="4" w:space="0" w:color="auto"/>
            <w:right w:val="nil"/>
          </w:tcBorders>
        </w:tcPr>
        <w:p w:rsidR="00DC632B" w:rsidRDefault="00DC632B" w:rsidP="00DC632B">
          <w:pPr>
            <w:pStyle w:val="Encabezado"/>
            <w:jc w:val="right"/>
            <w:rPr>
              <w:rFonts w:ascii="Times New Roman" w:hAnsi="Times New Roman" w:cs="Times New Roman"/>
              <w:sz w:val="20"/>
              <w:szCs w:val="20"/>
            </w:rPr>
          </w:pPr>
          <w:r w:rsidRPr="00DA46B6">
            <w:rPr>
              <w:rFonts w:ascii="Times New Roman" w:hAnsi="Times New Roman" w:cs="Times New Roman"/>
              <w:sz w:val="20"/>
              <w:szCs w:val="20"/>
            </w:rPr>
            <w:t>DIARIO OFICIAL</w:t>
          </w:r>
          <w:r w:rsidRPr="00DA46B6">
            <w:rPr>
              <w:rFonts w:ascii="Times New Roman" w:hAnsi="Times New Roman" w:cs="Times New Roman"/>
              <w:sz w:val="20"/>
              <w:szCs w:val="20"/>
            </w:rPr>
            <w:tab/>
            <w:t xml:space="preserve"> Lunes 10 de febrero de 2020</w:t>
          </w:r>
        </w:p>
      </w:tc>
    </w:tr>
  </w:tbl>
  <w:p w:rsidR="00B11096" w:rsidRPr="00DA46B6" w:rsidRDefault="00B11096" w:rsidP="00B5396C">
    <w:pPr>
      <w:pStyle w:val="Encabezado"/>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96"/>
    <w:rsid w:val="000A74BF"/>
    <w:rsid w:val="00266B04"/>
    <w:rsid w:val="002732CD"/>
    <w:rsid w:val="003C6872"/>
    <w:rsid w:val="003D2EAD"/>
    <w:rsid w:val="003E1AD6"/>
    <w:rsid w:val="00551304"/>
    <w:rsid w:val="0059607D"/>
    <w:rsid w:val="005B50C4"/>
    <w:rsid w:val="006D5542"/>
    <w:rsid w:val="007F1434"/>
    <w:rsid w:val="00845B9C"/>
    <w:rsid w:val="00930A0A"/>
    <w:rsid w:val="009C02B0"/>
    <w:rsid w:val="00AA1651"/>
    <w:rsid w:val="00AE2EB8"/>
    <w:rsid w:val="00B11096"/>
    <w:rsid w:val="00B5396C"/>
    <w:rsid w:val="00BC22F1"/>
    <w:rsid w:val="00D00FB3"/>
    <w:rsid w:val="00D17967"/>
    <w:rsid w:val="00D61520"/>
    <w:rsid w:val="00DA46B6"/>
    <w:rsid w:val="00DC22C5"/>
    <w:rsid w:val="00DC632B"/>
    <w:rsid w:val="00DE19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9E13"/>
  <w15:chartTrackingRefBased/>
  <w15:docId w15:val="{98B4733A-0A7F-4B9B-BBEE-92C1750A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96"/>
  </w:style>
  <w:style w:type="paragraph" w:styleId="Ttulo1">
    <w:name w:val="heading 1"/>
    <w:basedOn w:val="Normal"/>
    <w:next w:val="Normal"/>
    <w:link w:val="Ttulo1Car"/>
    <w:uiPriority w:val="9"/>
    <w:qFormat/>
    <w:rsid w:val="00B110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B1109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B11096"/>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B11096"/>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semiHidden/>
    <w:unhideWhenUsed/>
    <w:qFormat/>
    <w:rsid w:val="00B11096"/>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B1109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B1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09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tulo9">
    <w:name w:val="heading 9"/>
    <w:basedOn w:val="Normal"/>
    <w:next w:val="Normal"/>
    <w:link w:val="Ttulo9Car"/>
    <w:uiPriority w:val="9"/>
    <w:semiHidden/>
    <w:unhideWhenUsed/>
    <w:qFormat/>
    <w:rsid w:val="00B1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1096"/>
    <w:pPr>
      <w:tabs>
        <w:tab w:val="center" w:pos="4419"/>
        <w:tab w:val="right" w:pos="8838"/>
      </w:tabs>
      <w:spacing w:after="0"/>
    </w:pPr>
  </w:style>
  <w:style w:type="character" w:customStyle="1" w:styleId="EncabezadoCar">
    <w:name w:val="Encabezado Car"/>
    <w:basedOn w:val="Fuentedeprrafopredeter"/>
    <w:link w:val="Encabezado"/>
    <w:uiPriority w:val="99"/>
    <w:rsid w:val="00B11096"/>
  </w:style>
  <w:style w:type="paragraph" w:styleId="Piedepgina">
    <w:name w:val="footer"/>
    <w:basedOn w:val="Normal"/>
    <w:link w:val="PiedepginaCar"/>
    <w:uiPriority w:val="99"/>
    <w:unhideWhenUsed/>
    <w:rsid w:val="00B11096"/>
    <w:pPr>
      <w:tabs>
        <w:tab w:val="center" w:pos="4419"/>
        <w:tab w:val="right" w:pos="8838"/>
      </w:tabs>
      <w:spacing w:after="0"/>
    </w:pPr>
  </w:style>
  <w:style w:type="character" w:customStyle="1" w:styleId="PiedepginaCar">
    <w:name w:val="Pie de página Car"/>
    <w:basedOn w:val="Fuentedeprrafopredeter"/>
    <w:link w:val="Piedepgina"/>
    <w:uiPriority w:val="99"/>
    <w:rsid w:val="00B11096"/>
  </w:style>
  <w:style w:type="character" w:customStyle="1" w:styleId="Ttulo1Car">
    <w:name w:val="Título 1 Car"/>
    <w:basedOn w:val="Fuentedeprrafopredeter"/>
    <w:link w:val="Ttulo1"/>
    <w:uiPriority w:val="9"/>
    <w:rsid w:val="00B11096"/>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semiHidden/>
    <w:rsid w:val="00B11096"/>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B11096"/>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B11096"/>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semiHidden/>
    <w:rsid w:val="00B11096"/>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semiHidden/>
    <w:rsid w:val="00B11096"/>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semiHidden/>
    <w:rsid w:val="00B1109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11096"/>
    <w:rPr>
      <w:rFonts w:asciiTheme="majorHAnsi" w:eastAsiaTheme="majorEastAsia" w:hAnsiTheme="majorHAnsi" w:cstheme="majorBidi"/>
      <w:color w:val="5B9BD5" w:themeColor="accent1"/>
      <w:sz w:val="20"/>
      <w:szCs w:val="20"/>
    </w:rPr>
  </w:style>
  <w:style w:type="character" w:customStyle="1" w:styleId="Ttulo9Car">
    <w:name w:val="Título 9 Car"/>
    <w:basedOn w:val="Fuentedeprrafopredeter"/>
    <w:link w:val="Ttulo9"/>
    <w:uiPriority w:val="9"/>
    <w:semiHidden/>
    <w:rsid w:val="00B1109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11096"/>
    <w:rPr>
      <w:b/>
      <w:bCs/>
      <w:color w:val="5B9BD5" w:themeColor="accent1"/>
      <w:sz w:val="18"/>
      <w:szCs w:val="18"/>
    </w:rPr>
  </w:style>
  <w:style w:type="paragraph" w:styleId="Ttulo">
    <w:name w:val="Title"/>
    <w:basedOn w:val="Normal"/>
    <w:next w:val="Normal"/>
    <w:link w:val="TtuloCar"/>
    <w:uiPriority w:val="10"/>
    <w:qFormat/>
    <w:rsid w:val="00B1109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tuloCar">
    <w:name w:val="Título Car"/>
    <w:basedOn w:val="Fuentedeprrafopredeter"/>
    <w:link w:val="Ttulo"/>
    <w:uiPriority w:val="10"/>
    <w:rsid w:val="00B11096"/>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ar"/>
    <w:uiPriority w:val="11"/>
    <w:qFormat/>
    <w:rsid w:val="00B1109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B11096"/>
    <w:rPr>
      <w:rFonts w:asciiTheme="majorHAnsi" w:eastAsiaTheme="majorEastAsia" w:hAnsiTheme="majorHAnsi" w:cstheme="majorBidi"/>
      <w:i/>
      <w:iCs/>
      <w:color w:val="5B9BD5" w:themeColor="accent1"/>
      <w:spacing w:val="15"/>
      <w:sz w:val="24"/>
      <w:szCs w:val="24"/>
    </w:rPr>
  </w:style>
  <w:style w:type="character" w:styleId="Textoennegrita">
    <w:name w:val="Strong"/>
    <w:basedOn w:val="Fuentedeprrafopredeter"/>
    <w:uiPriority w:val="22"/>
    <w:qFormat/>
    <w:rsid w:val="00B11096"/>
    <w:rPr>
      <w:b/>
      <w:bCs/>
    </w:rPr>
  </w:style>
  <w:style w:type="character" w:styleId="nfasis">
    <w:name w:val="Emphasis"/>
    <w:basedOn w:val="Fuentedeprrafopredeter"/>
    <w:uiPriority w:val="20"/>
    <w:qFormat/>
    <w:rsid w:val="00B11096"/>
    <w:rPr>
      <w:i/>
      <w:iCs/>
    </w:rPr>
  </w:style>
  <w:style w:type="paragraph" w:styleId="Sinespaciado">
    <w:name w:val="No Spacing"/>
    <w:uiPriority w:val="1"/>
    <w:qFormat/>
    <w:rsid w:val="00B11096"/>
    <w:pPr>
      <w:spacing w:after="0"/>
    </w:pPr>
  </w:style>
  <w:style w:type="paragraph" w:styleId="Cita">
    <w:name w:val="Quote"/>
    <w:basedOn w:val="Normal"/>
    <w:next w:val="Normal"/>
    <w:link w:val="CitaCar"/>
    <w:uiPriority w:val="29"/>
    <w:qFormat/>
    <w:rsid w:val="00B11096"/>
    <w:rPr>
      <w:i/>
      <w:iCs/>
      <w:color w:val="000000" w:themeColor="text1"/>
    </w:rPr>
  </w:style>
  <w:style w:type="character" w:customStyle="1" w:styleId="CitaCar">
    <w:name w:val="Cita Car"/>
    <w:basedOn w:val="Fuentedeprrafopredeter"/>
    <w:link w:val="Cita"/>
    <w:uiPriority w:val="29"/>
    <w:rsid w:val="00B11096"/>
    <w:rPr>
      <w:i/>
      <w:iCs/>
      <w:color w:val="000000" w:themeColor="text1"/>
    </w:rPr>
  </w:style>
  <w:style w:type="paragraph" w:styleId="Citadestacada">
    <w:name w:val="Intense Quote"/>
    <w:basedOn w:val="Normal"/>
    <w:next w:val="Normal"/>
    <w:link w:val="CitadestacadaCar"/>
    <w:uiPriority w:val="30"/>
    <w:qFormat/>
    <w:rsid w:val="00B11096"/>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B11096"/>
    <w:rPr>
      <w:b/>
      <w:bCs/>
      <w:i/>
      <w:iCs/>
      <w:color w:val="5B9BD5" w:themeColor="accent1"/>
    </w:rPr>
  </w:style>
  <w:style w:type="character" w:styleId="nfasissutil">
    <w:name w:val="Subtle Emphasis"/>
    <w:basedOn w:val="Fuentedeprrafopredeter"/>
    <w:uiPriority w:val="19"/>
    <w:qFormat/>
    <w:rsid w:val="00B11096"/>
    <w:rPr>
      <w:i/>
      <w:iCs/>
      <w:color w:val="808080" w:themeColor="text1" w:themeTint="7F"/>
    </w:rPr>
  </w:style>
  <w:style w:type="character" w:styleId="nfasisintenso">
    <w:name w:val="Intense Emphasis"/>
    <w:basedOn w:val="Fuentedeprrafopredeter"/>
    <w:uiPriority w:val="21"/>
    <w:qFormat/>
    <w:rsid w:val="00B11096"/>
    <w:rPr>
      <w:b/>
      <w:bCs/>
      <w:i/>
      <w:iCs/>
      <w:color w:val="5B9BD5" w:themeColor="accent1"/>
    </w:rPr>
  </w:style>
  <w:style w:type="character" w:styleId="Referenciasutil">
    <w:name w:val="Subtle Reference"/>
    <w:basedOn w:val="Fuentedeprrafopredeter"/>
    <w:uiPriority w:val="31"/>
    <w:qFormat/>
    <w:rsid w:val="00B11096"/>
    <w:rPr>
      <w:smallCaps/>
      <w:color w:val="ED7D31" w:themeColor="accent2"/>
      <w:u w:val="single"/>
    </w:rPr>
  </w:style>
  <w:style w:type="character" w:styleId="Referenciaintensa">
    <w:name w:val="Intense Reference"/>
    <w:basedOn w:val="Fuentedeprrafopredeter"/>
    <w:uiPriority w:val="32"/>
    <w:qFormat/>
    <w:rsid w:val="00B11096"/>
    <w:rPr>
      <w:b/>
      <w:bCs/>
      <w:smallCaps/>
      <w:color w:val="ED7D31" w:themeColor="accent2"/>
      <w:spacing w:val="5"/>
      <w:u w:val="single"/>
    </w:rPr>
  </w:style>
  <w:style w:type="character" w:styleId="Ttulodellibro">
    <w:name w:val="Book Title"/>
    <w:basedOn w:val="Fuentedeprrafopredeter"/>
    <w:uiPriority w:val="33"/>
    <w:qFormat/>
    <w:rsid w:val="00B11096"/>
    <w:rPr>
      <w:b/>
      <w:bCs/>
      <w:smallCaps/>
      <w:spacing w:val="5"/>
    </w:rPr>
  </w:style>
  <w:style w:type="paragraph" w:styleId="TtuloTDC">
    <w:name w:val="TOC Heading"/>
    <w:basedOn w:val="Ttulo1"/>
    <w:next w:val="Normal"/>
    <w:uiPriority w:val="39"/>
    <w:unhideWhenUsed/>
    <w:qFormat/>
    <w:rsid w:val="00B11096"/>
    <w:pPr>
      <w:outlineLvl w:val="9"/>
    </w:pPr>
  </w:style>
  <w:style w:type="character" w:styleId="Hipervnculo">
    <w:name w:val="Hyperlink"/>
    <w:basedOn w:val="Fuentedeprrafopredeter"/>
    <w:uiPriority w:val="99"/>
    <w:semiHidden/>
    <w:unhideWhenUsed/>
    <w:rsid w:val="00B11096"/>
    <w:rPr>
      <w:color w:val="0000FF"/>
      <w:u w:val="single"/>
    </w:rPr>
  </w:style>
  <w:style w:type="character" w:styleId="Nmerodelnea">
    <w:name w:val="line number"/>
    <w:basedOn w:val="Fuentedeprrafopredeter"/>
    <w:uiPriority w:val="99"/>
    <w:semiHidden/>
    <w:unhideWhenUsed/>
    <w:rsid w:val="00DA46B6"/>
  </w:style>
  <w:style w:type="table" w:styleId="Tablaconcuadrcula">
    <w:name w:val="Table Grid"/>
    <w:basedOn w:val="Tablanormal"/>
    <w:uiPriority w:val="39"/>
    <w:rsid w:val="00DC63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
    <w:name w:val="sum"/>
    <w:basedOn w:val="Normal"/>
    <w:link w:val="sumCar"/>
    <w:rsid w:val="00AE2EB8"/>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AE2EB8"/>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B968-6254-4D35-9938-6E8D5004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77</cp:revision>
  <dcterms:created xsi:type="dcterms:W3CDTF">2020-02-10T16:34:00Z</dcterms:created>
  <dcterms:modified xsi:type="dcterms:W3CDTF">2020-02-10T18:04:00Z</dcterms:modified>
</cp:coreProperties>
</file>