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054" w:rsidRPr="00D54127" w:rsidRDefault="00074054" w:rsidP="00D54127">
      <w:pPr>
        <w:spacing w:after="0" w:line="326" w:lineRule="exact"/>
        <w:ind w:right="620"/>
        <w:jc w:val="center"/>
        <w:outlineLvl w:val="0"/>
        <w:rPr>
          <w:rFonts w:ascii="Times New Roman" w:eastAsia="Times New Roman" w:hAnsi="Times New Roman" w:cs="Times New Roman"/>
          <w:b/>
          <w:bCs/>
          <w:sz w:val="20"/>
          <w:szCs w:val="20"/>
          <w:lang w:eastAsia="es-MX"/>
        </w:rPr>
      </w:pPr>
      <w:r w:rsidRPr="00D54127">
        <w:rPr>
          <w:rFonts w:ascii="Times New Roman" w:eastAsia="Times New Roman" w:hAnsi="Times New Roman" w:cs="Times New Roman"/>
          <w:b/>
          <w:bCs/>
          <w:sz w:val="20"/>
          <w:szCs w:val="20"/>
          <w:lang w:eastAsia="es-MX"/>
        </w:rPr>
        <w:t>INDICE</w:t>
      </w:r>
    </w:p>
    <w:p w:rsidR="00074054" w:rsidRPr="00D54127" w:rsidRDefault="00074054" w:rsidP="00D54127">
      <w:pPr>
        <w:spacing w:after="0" w:line="326" w:lineRule="exact"/>
        <w:ind w:right="620"/>
        <w:jc w:val="center"/>
        <w:outlineLvl w:val="0"/>
        <w:rPr>
          <w:rFonts w:ascii="Times New Roman" w:eastAsia="Times New Roman" w:hAnsi="Times New Roman" w:cs="Times New Roman"/>
          <w:b/>
          <w:bCs/>
          <w:sz w:val="20"/>
          <w:szCs w:val="20"/>
          <w:lang w:eastAsia="es-MX"/>
        </w:rPr>
      </w:pPr>
      <w:r w:rsidRPr="00D54127">
        <w:rPr>
          <w:rFonts w:ascii="Times New Roman" w:eastAsia="Times New Roman" w:hAnsi="Times New Roman" w:cs="Times New Roman"/>
          <w:b/>
          <w:bCs/>
          <w:sz w:val="20"/>
          <w:szCs w:val="20"/>
          <w:lang w:eastAsia="es-MX"/>
        </w:rPr>
        <w:t>PODER EJECUTIVO</w:t>
      </w:r>
    </w:p>
    <w:p w:rsidR="00074054" w:rsidRDefault="00074054" w:rsidP="00D54127">
      <w:pPr>
        <w:pStyle w:val="sum"/>
        <w:spacing w:line="326" w:lineRule="exact"/>
        <w:ind w:right="620"/>
      </w:pPr>
    </w:p>
    <w:p w:rsidR="00074054" w:rsidRPr="00D54127" w:rsidRDefault="00074054" w:rsidP="00D54127">
      <w:pPr>
        <w:pStyle w:val="sum"/>
        <w:spacing w:line="326" w:lineRule="exact"/>
        <w:ind w:right="620"/>
        <w:rPr>
          <w:rFonts w:ascii="Times New Roman" w:hAnsi="Times New Roman" w:cs="Times New Roman"/>
          <w:b/>
          <w:sz w:val="20"/>
          <w:u w:val="single"/>
          <w:lang w:val="es-MX"/>
        </w:rPr>
      </w:pPr>
      <w:r w:rsidRPr="00D54127">
        <w:rPr>
          <w:rFonts w:ascii="Times New Roman" w:hAnsi="Times New Roman" w:cs="Times New Roman"/>
          <w:b/>
          <w:sz w:val="20"/>
          <w:u w:val="single"/>
          <w:lang w:val="es-MX"/>
        </w:rPr>
        <w:t>SECRETARIA DE GOBERNACION</w:t>
      </w:r>
    </w:p>
    <w:p w:rsidR="00074054" w:rsidRPr="00D54127" w:rsidRDefault="00074054" w:rsidP="00D54127">
      <w:pPr>
        <w:pStyle w:val="sum"/>
        <w:spacing w:line="326" w:lineRule="exact"/>
        <w:ind w:right="620"/>
        <w:rPr>
          <w:szCs w:val="18"/>
          <w:lang w:val="es-MX"/>
        </w:rPr>
      </w:pPr>
    </w:p>
    <w:p w:rsidR="00074054" w:rsidRPr="00D54127" w:rsidRDefault="00074054" w:rsidP="00D54127">
      <w:pPr>
        <w:pStyle w:val="sum"/>
        <w:spacing w:line="326" w:lineRule="exact"/>
        <w:ind w:right="620"/>
        <w:rPr>
          <w:szCs w:val="18"/>
          <w:lang w:val="es-MX"/>
        </w:rPr>
      </w:pPr>
      <w:r w:rsidRPr="00D54127">
        <w:rPr>
          <w:szCs w:val="18"/>
          <w:lang w:val="es-MX"/>
        </w:rPr>
        <w:t xml:space="preserve">Extracto de la solicitud de registro de la agrupación denominada City </w:t>
      </w:r>
      <w:proofErr w:type="spellStart"/>
      <w:r w:rsidRPr="00D54127">
        <w:rPr>
          <w:szCs w:val="18"/>
          <w:lang w:val="es-MX"/>
        </w:rPr>
        <w:t>Impact</w:t>
      </w:r>
      <w:proofErr w:type="spellEnd"/>
      <w:r w:rsidRPr="00D54127">
        <w:rPr>
          <w:szCs w:val="18"/>
          <w:lang w:val="es-MX"/>
        </w:rPr>
        <w:t xml:space="preserve"> </w:t>
      </w:r>
      <w:proofErr w:type="spellStart"/>
      <w:r w:rsidRPr="00D54127">
        <w:rPr>
          <w:szCs w:val="18"/>
          <w:lang w:val="es-MX"/>
        </w:rPr>
        <w:t>Church</w:t>
      </w:r>
      <w:proofErr w:type="spellEnd"/>
      <w:r w:rsidRPr="00D54127">
        <w:rPr>
          <w:szCs w:val="18"/>
          <w:lang w:val="es-MX"/>
        </w:rPr>
        <w:t xml:space="preserve"> México, para constituirse en asociación religiosa. .................................................................................................</w:t>
      </w:r>
      <w:r w:rsidRPr="00D54127">
        <w:rPr>
          <w:szCs w:val="18"/>
          <w:lang w:val="es-MX"/>
        </w:rPr>
        <w:tab/>
        <w:t>2</w:t>
      </w:r>
    </w:p>
    <w:p w:rsidR="00074054" w:rsidRPr="00D54127" w:rsidRDefault="00074054" w:rsidP="00D54127">
      <w:pPr>
        <w:pStyle w:val="sum"/>
        <w:spacing w:line="326" w:lineRule="exact"/>
        <w:ind w:right="620"/>
        <w:rPr>
          <w:szCs w:val="18"/>
          <w:lang w:val="es-MX"/>
        </w:rPr>
      </w:pPr>
    </w:p>
    <w:p w:rsidR="00074054" w:rsidRPr="00D54127" w:rsidRDefault="00074054" w:rsidP="00D54127">
      <w:pPr>
        <w:pStyle w:val="sum"/>
        <w:spacing w:line="326" w:lineRule="exact"/>
        <w:ind w:right="620"/>
        <w:rPr>
          <w:szCs w:val="18"/>
          <w:lang w:val="es-MX"/>
        </w:rPr>
      </w:pPr>
      <w:r w:rsidRPr="00D54127">
        <w:rPr>
          <w:szCs w:val="18"/>
          <w:lang w:val="es-MX"/>
        </w:rPr>
        <w:t xml:space="preserve">Extracto de la solicitud de registro de la entidad interna denominada Iglesia del Nazareno Centro </w:t>
      </w:r>
      <w:proofErr w:type="gramStart"/>
      <w:r w:rsidRPr="00D54127">
        <w:rPr>
          <w:szCs w:val="18"/>
          <w:lang w:val="es-MX"/>
        </w:rPr>
        <w:t>Buenavista,  para</w:t>
      </w:r>
      <w:proofErr w:type="gramEnd"/>
      <w:r w:rsidRPr="00D54127">
        <w:rPr>
          <w:szCs w:val="18"/>
          <w:lang w:val="es-MX"/>
        </w:rPr>
        <w:t xml:space="preserve">  constituirse  en  asociación  religiosa;  derivada  de  Iglesia  del  Nazareno  en México, A.R. .....................................................................................................................................</w:t>
      </w:r>
      <w:r w:rsidRPr="00D54127">
        <w:rPr>
          <w:szCs w:val="18"/>
          <w:lang w:val="es-MX"/>
        </w:rPr>
        <w:tab/>
        <w:t>3</w:t>
      </w:r>
    </w:p>
    <w:p w:rsidR="00074054" w:rsidRPr="00D54127" w:rsidRDefault="00074054" w:rsidP="00D54127">
      <w:pPr>
        <w:pStyle w:val="sum"/>
        <w:spacing w:line="326" w:lineRule="exact"/>
        <w:ind w:right="620"/>
        <w:rPr>
          <w:szCs w:val="18"/>
          <w:lang w:val="es-MX"/>
        </w:rPr>
      </w:pPr>
    </w:p>
    <w:p w:rsidR="00074054" w:rsidRPr="00D54127" w:rsidRDefault="00074054" w:rsidP="00D54127">
      <w:pPr>
        <w:pStyle w:val="sum"/>
        <w:spacing w:line="326" w:lineRule="exact"/>
        <w:ind w:right="620"/>
        <w:rPr>
          <w:szCs w:val="18"/>
          <w:lang w:val="es-MX"/>
        </w:rPr>
      </w:pPr>
      <w:r w:rsidRPr="00D54127">
        <w:rPr>
          <w:szCs w:val="18"/>
          <w:lang w:val="es-MX"/>
        </w:rPr>
        <w:t>Extracto de la solicitud de registro de la agrupación denominada Iglesia Cristiana Casa del</w:t>
      </w:r>
    </w:p>
    <w:p w:rsidR="00074054" w:rsidRPr="00D54127" w:rsidRDefault="00074054" w:rsidP="00D54127">
      <w:pPr>
        <w:pStyle w:val="sum"/>
        <w:spacing w:line="326" w:lineRule="exact"/>
        <w:ind w:right="620"/>
        <w:rPr>
          <w:szCs w:val="18"/>
          <w:lang w:val="es-MX"/>
        </w:rPr>
      </w:pPr>
      <w:r w:rsidRPr="00D54127">
        <w:rPr>
          <w:szCs w:val="18"/>
          <w:lang w:val="es-MX"/>
        </w:rPr>
        <w:t>Alfarero en México, para constituirse en asociación religiosa. .........................................................</w:t>
      </w:r>
      <w:r w:rsidRPr="00D54127">
        <w:rPr>
          <w:szCs w:val="18"/>
          <w:lang w:val="es-MX"/>
        </w:rPr>
        <w:tab/>
        <w:t>4</w:t>
      </w:r>
    </w:p>
    <w:p w:rsidR="00074054" w:rsidRPr="00D54127" w:rsidRDefault="00074054" w:rsidP="00D54127">
      <w:pPr>
        <w:pStyle w:val="sum"/>
        <w:spacing w:line="326" w:lineRule="exact"/>
        <w:ind w:right="620"/>
        <w:rPr>
          <w:szCs w:val="18"/>
          <w:lang w:val="es-MX"/>
        </w:rPr>
      </w:pPr>
    </w:p>
    <w:p w:rsidR="00074054" w:rsidRPr="00D54127" w:rsidRDefault="00074054" w:rsidP="00D54127">
      <w:pPr>
        <w:pStyle w:val="sum"/>
        <w:spacing w:line="326" w:lineRule="exact"/>
        <w:ind w:right="620"/>
        <w:rPr>
          <w:szCs w:val="18"/>
          <w:lang w:val="es-MX"/>
        </w:rPr>
      </w:pPr>
      <w:proofErr w:type="gramStart"/>
      <w:r w:rsidRPr="00D54127">
        <w:rPr>
          <w:szCs w:val="18"/>
          <w:lang w:val="es-MX"/>
        </w:rPr>
        <w:t>Extracto  de</w:t>
      </w:r>
      <w:proofErr w:type="gramEnd"/>
      <w:r w:rsidRPr="00D54127">
        <w:rPr>
          <w:szCs w:val="18"/>
          <w:lang w:val="es-MX"/>
        </w:rPr>
        <w:t xml:space="preserve">  la  solicitud  de  registro  de  la  agrupación  denominada  Asociación  de  Iglesias</w:t>
      </w:r>
    </w:p>
    <w:p w:rsidR="00074054" w:rsidRDefault="00074054" w:rsidP="00D54127">
      <w:pPr>
        <w:pStyle w:val="sum"/>
        <w:spacing w:line="326" w:lineRule="exact"/>
        <w:ind w:right="620"/>
      </w:pPr>
      <w:r w:rsidRPr="00D54127">
        <w:rPr>
          <w:szCs w:val="18"/>
          <w:lang w:val="es-MX"/>
        </w:rPr>
        <w:t>Evangélicas del Cordero de Dios Pentecostés, para constituirse en asociación religiosa. ..............</w:t>
      </w:r>
      <w:r w:rsidRPr="00D54127">
        <w:rPr>
          <w:szCs w:val="18"/>
          <w:lang w:val="es-MX"/>
        </w:rPr>
        <w:tab/>
      </w:r>
      <w:r>
        <w:t>5</w:t>
      </w:r>
    </w:p>
    <w:p w:rsidR="00074054" w:rsidRDefault="00074054" w:rsidP="00D54127">
      <w:pPr>
        <w:pStyle w:val="sum"/>
        <w:spacing w:line="326" w:lineRule="exact"/>
        <w:ind w:right="620"/>
      </w:pPr>
    </w:p>
    <w:p w:rsidR="00074054" w:rsidRPr="00D54127" w:rsidRDefault="00074054" w:rsidP="00D54127">
      <w:pPr>
        <w:pStyle w:val="sum"/>
        <w:spacing w:line="326" w:lineRule="exact"/>
        <w:ind w:right="620"/>
        <w:rPr>
          <w:rFonts w:ascii="Times New Roman" w:hAnsi="Times New Roman" w:cs="Times New Roman"/>
          <w:b/>
          <w:sz w:val="20"/>
          <w:u w:val="single"/>
          <w:lang w:val="es-MX"/>
        </w:rPr>
      </w:pPr>
      <w:r w:rsidRPr="00D54127">
        <w:rPr>
          <w:rFonts w:ascii="Times New Roman" w:hAnsi="Times New Roman" w:cs="Times New Roman"/>
          <w:b/>
          <w:sz w:val="20"/>
          <w:u w:val="single"/>
          <w:lang w:val="es-MX"/>
        </w:rPr>
        <w:t>SECRETARIA DE RELACIONES EXTERIORES</w:t>
      </w:r>
    </w:p>
    <w:p w:rsidR="00074054" w:rsidRPr="00D54127" w:rsidRDefault="00074054" w:rsidP="00D54127">
      <w:pPr>
        <w:pStyle w:val="sum"/>
        <w:spacing w:line="326" w:lineRule="exact"/>
        <w:ind w:right="620"/>
        <w:rPr>
          <w:szCs w:val="18"/>
          <w:lang w:val="es-MX"/>
        </w:rPr>
      </w:pPr>
    </w:p>
    <w:p w:rsidR="00074054" w:rsidRPr="00D54127" w:rsidRDefault="00074054" w:rsidP="00D54127">
      <w:pPr>
        <w:pStyle w:val="sum"/>
        <w:spacing w:line="326" w:lineRule="exact"/>
        <w:ind w:right="620"/>
        <w:rPr>
          <w:szCs w:val="18"/>
          <w:lang w:val="es-MX"/>
        </w:rPr>
      </w:pPr>
      <w:r w:rsidRPr="00D54127">
        <w:rPr>
          <w:szCs w:val="18"/>
          <w:lang w:val="es-MX"/>
        </w:rPr>
        <w:t xml:space="preserve">Decreto </w:t>
      </w:r>
      <w:proofErr w:type="spellStart"/>
      <w:r w:rsidRPr="00D54127">
        <w:rPr>
          <w:szCs w:val="18"/>
          <w:lang w:val="es-MX"/>
        </w:rPr>
        <w:t>Promulgatorio</w:t>
      </w:r>
      <w:proofErr w:type="spellEnd"/>
      <w:r w:rsidRPr="00D54127">
        <w:rPr>
          <w:szCs w:val="18"/>
          <w:lang w:val="es-MX"/>
        </w:rPr>
        <w:t xml:space="preserve"> de la Convención Interamericana contra el Racismo, la Discriminación</w:t>
      </w:r>
    </w:p>
    <w:p w:rsidR="00074054" w:rsidRPr="00D54127" w:rsidRDefault="00074054" w:rsidP="00D54127">
      <w:pPr>
        <w:pStyle w:val="sum"/>
        <w:spacing w:line="326" w:lineRule="exact"/>
        <w:ind w:right="620"/>
        <w:rPr>
          <w:szCs w:val="18"/>
          <w:lang w:val="es-MX"/>
        </w:rPr>
      </w:pPr>
      <w:r w:rsidRPr="00D54127">
        <w:rPr>
          <w:szCs w:val="18"/>
          <w:lang w:val="es-MX"/>
        </w:rPr>
        <w:t>Racial y Formas Conexas de Intolerancia, adoptada en La Antigua, Guatemala, el cinco de junio</w:t>
      </w:r>
    </w:p>
    <w:p w:rsidR="00074054" w:rsidRPr="00D54127" w:rsidRDefault="00074054" w:rsidP="00D54127">
      <w:pPr>
        <w:pStyle w:val="sum"/>
        <w:spacing w:line="326" w:lineRule="exact"/>
        <w:ind w:right="620"/>
        <w:rPr>
          <w:szCs w:val="18"/>
          <w:lang w:val="es-MX"/>
        </w:rPr>
      </w:pPr>
      <w:r w:rsidRPr="00D54127">
        <w:rPr>
          <w:szCs w:val="18"/>
          <w:lang w:val="es-MX"/>
        </w:rPr>
        <w:t>de dos mil trece. ...............................................................................................................................</w:t>
      </w:r>
      <w:r w:rsidRPr="00D54127">
        <w:rPr>
          <w:szCs w:val="18"/>
          <w:lang w:val="es-MX"/>
        </w:rPr>
        <w:tab/>
        <w:t>6</w:t>
      </w:r>
    </w:p>
    <w:p w:rsidR="00074054" w:rsidRPr="00D54127" w:rsidRDefault="00074054" w:rsidP="00D54127">
      <w:pPr>
        <w:pStyle w:val="sum"/>
        <w:spacing w:line="326" w:lineRule="exact"/>
        <w:ind w:right="620"/>
        <w:rPr>
          <w:szCs w:val="18"/>
          <w:lang w:val="es-MX"/>
        </w:rPr>
      </w:pPr>
    </w:p>
    <w:p w:rsidR="00074054" w:rsidRPr="00D54127" w:rsidRDefault="00074054" w:rsidP="00D54127">
      <w:pPr>
        <w:pStyle w:val="sum"/>
        <w:spacing w:line="326" w:lineRule="exact"/>
        <w:ind w:right="620"/>
        <w:rPr>
          <w:szCs w:val="18"/>
          <w:lang w:val="es-MX"/>
        </w:rPr>
      </w:pPr>
      <w:r w:rsidRPr="00D54127">
        <w:rPr>
          <w:szCs w:val="18"/>
          <w:lang w:val="es-MX"/>
        </w:rPr>
        <w:t xml:space="preserve">Decreto </w:t>
      </w:r>
      <w:proofErr w:type="spellStart"/>
      <w:r w:rsidRPr="00D54127">
        <w:rPr>
          <w:szCs w:val="18"/>
          <w:lang w:val="es-MX"/>
        </w:rPr>
        <w:t>Promulgatorio</w:t>
      </w:r>
      <w:proofErr w:type="spellEnd"/>
      <w:r w:rsidRPr="00D54127">
        <w:rPr>
          <w:szCs w:val="18"/>
          <w:lang w:val="es-MX"/>
        </w:rPr>
        <w:t xml:space="preserve"> de la Convención Interamericana contra toda Forma de Discriminación e</w:t>
      </w:r>
    </w:p>
    <w:p w:rsidR="00074054" w:rsidRPr="00D54127" w:rsidRDefault="00074054" w:rsidP="00D54127">
      <w:pPr>
        <w:pStyle w:val="sum"/>
        <w:spacing w:line="326" w:lineRule="exact"/>
        <w:ind w:right="620"/>
        <w:rPr>
          <w:szCs w:val="18"/>
          <w:lang w:val="es-MX"/>
        </w:rPr>
      </w:pPr>
      <w:r w:rsidRPr="00D54127">
        <w:rPr>
          <w:szCs w:val="18"/>
          <w:lang w:val="es-MX"/>
        </w:rPr>
        <w:t>Intolerancia, adoptada en La Antigua, Guatemala, el cinco de junio de dos mil trece. .....................</w:t>
      </w:r>
      <w:r w:rsidRPr="00D54127">
        <w:rPr>
          <w:szCs w:val="18"/>
          <w:lang w:val="es-MX"/>
        </w:rPr>
        <w:tab/>
        <w:t>13</w:t>
      </w:r>
    </w:p>
    <w:p w:rsidR="00074054" w:rsidRPr="00D54127" w:rsidRDefault="00074054" w:rsidP="00D54127">
      <w:pPr>
        <w:pStyle w:val="sum"/>
        <w:spacing w:line="326" w:lineRule="exact"/>
        <w:ind w:right="620"/>
        <w:rPr>
          <w:szCs w:val="18"/>
          <w:lang w:val="es-MX"/>
        </w:rPr>
      </w:pPr>
    </w:p>
    <w:p w:rsidR="00074054" w:rsidRPr="00D54127" w:rsidRDefault="00074054" w:rsidP="00D54127">
      <w:pPr>
        <w:pStyle w:val="sum"/>
        <w:spacing w:line="326" w:lineRule="exact"/>
        <w:ind w:right="620"/>
        <w:rPr>
          <w:szCs w:val="18"/>
          <w:lang w:val="es-MX"/>
        </w:rPr>
      </w:pPr>
      <w:r w:rsidRPr="00D54127">
        <w:rPr>
          <w:szCs w:val="18"/>
          <w:lang w:val="es-MX"/>
        </w:rPr>
        <w:t xml:space="preserve">Decreto </w:t>
      </w:r>
      <w:proofErr w:type="spellStart"/>
      <w:r w:rsidRPr="00D54127">
        <w:rPr>
          <w:szCs w:val="18"/>
          <w:lang w:val="es-MX"/>
        </w:rPr>
        <w:t>Promulgatorio</w:t>
      </w:r>
      <w:proofErr w:type="spellEnd"/>
      <w:r w:rsidRPr="00D54127">
        <w:rPr>
          <w:szCs w:val="18"/>
          <w:lang w:val="es-MX"/>
        </w:rPr>
        <w:t xml:space="preserve"> del Acuerdo de Cooperación entre el Gobierno de los Estados Unidos </w:t>
      </w:r>
      <w:proofErr w:type="gramStart"/>
      <w:r w:rsidRPr="00D54127">
        <w:rPr>
          <w:szCs w:val="18"/>
          <w:lang w:val="es-MX"/>
        </w:rPr>
        <w:t>Mexicanos  y</w:t>
      </w:r>
      <w:proofErr w:type="gramEnd"/>
      <w:r w:rsidRPr="00D54127">
        <w:rPr>
          <w:szCs w:val="18"/>
          <w:lang w:val="es-MX"/>
        </w:rPr>
        <w:t xml:space="preserve">  el  Gobierno  de  la  República  de  Azerbaiyán  en  los  Campos  de  la  Educación, la Ciencia, la Juventud, la Cultura y el Deporte, hecho en Bakú el veinte de octubre de dos</w:t>
      </w:r>
    </w:p>
    <w:p w:rsidR="00074054" w:rsidRPr="00D54127" w:rsidRDefault="00074054" w:rsidP="00D54127">
      <w:pPr>
        <w:pStyle w:val="sum"/>
        <w:spacing w:line="326" w:lineRule="exact"/>
        <w:ind w:right="620"/>
        <w:rPr>
          <w:szCs w:val="18"/>
          <w:lang w:val="es-MX"/>
        </w:rPr>
      </w:pPr>
      <w:r w:rsidRPr="00D54127">
        <w:rPr>
          <w:szCs w:val="18"/>
          <w:lang w:val="es-MX"/>
        </w:rPr>
        <w:t>mil diecisiete. ....................................................................................................................................</w:t>
      </w:r>
      <w:r w:rsidRPr="00D54127">
        <w:rPr>
          <w:szCs w:val="18"/>
          <w:lang w:val="es-MX"/>
        </w:rPr>
        <w:tab/>
        <w:t>20</w:t>
      </w:r>
    </w:p>
    <w:p w:rsidR="00074054" w:rsidRPr="00D54127" w:rsidRDefault="00074054" w:rsidP="00D54127">
      <w:pPr>
        <w:pStyle w:val="sum"/>
        <w:spacing w:line="326" w:lineRule="exact"/>
        <w:ind w:right="620"/>
        <w:rPr>
          <w:szCs w:val="18"/>
          <w:lang w:val="es-MX"/>
        </w:rPr>
      </w:pPr>
    </w:p>
    <w:p w:rsidR="00074054" w:rsidRPr="00D54127" w:rsidRDefault="00074054" w:rsidP="00D54127">
      <w:pPr>
        <w:pStyle w:val="sum"/>
        <w:spacing w:line="326" w:lineRule="exact"/>
        <w:ind w:right="620"/>
        <w:rPr>
          <w:rFonts w:ascii="Times New Roman" w:hAnsi="Times New Roman" w:cs="Times New Roman"/>
          <w:b/>
          <w:sz w:val="20"/>
          <w:u w:val="single"/>
          <w:lang w:val="es-MX"/>
        </w:rPr>
      </w:pPr>
      <w:r w:rsidRPr="00D54127">
        <w:rPr>
          <w:rFonts w:ascii="Times New Roman" w:hAnsi="Times New Roman" w:cs="Times New Roman"/>
          <w:b/>
          <w:sz w:val="20"/>
          <w:u w:val="single"/>
          <w:lang w:val="es-MX"/>
        </w:rPr>
        <w:t>SECRETARIA DE HACIENDA Y CREDITO PUBLICO</w:t>
      </w:r>
    </w:p>
    <w:p w:rsidR="00074054" w:rsidRPr="00D54127" w:rsidRDefault="00074054" w:rsidP="00D54127">
      <w:pPr>
        <w:pStyle w:val="sum"/>
        <w:spacing w:line="326" w:lineRule="exact"/>
        <w:ind w:right="620"/>
        <w:rPr>
          <w:szCs w:val="18"/>
          <w:lang w:val="es-MX"/>
        </w:rPr>
      </w:pPr>
    </w:p>
    <w:p w:rsidR="00074054" w:rsidRPr="00D54127" w:rsidRDefault="00074054" w:rsidP="00D54127">
      <w:pPr>
        <w:pStyle w:val="sum"/>
        <w:spacing w:line="326" w:lineRule="exact"/>
        <w:ind w:right="620"/>
        <w:rPr>
          <w:szCs w:val="18"/>
          <w:lang w:val="es-MX"/>
        </w:rPr>
      </w:pPr>
      <w:r w:rsidRPr="00D54127">
        <w:rPr>
          <w:szCs w:val="18"/>
          <w:lang w:val="es-MX"/>
        </w:rPr>
        <w:t>Oficio mediante el cual se modifica la autorización otorgada a FM Global de México, S.A. de C.V.</w:t>
      </w:r>
    </w:p>
    <w:p w:rsidR="00074054" w:rsidRPr="00D54127" w:rsidRDefault="00074054" w:rsidP="00D54127">
      <w:pPr>
        <w:pStyle w:val="sum"/>
        <w:spacing w:line="326" w:lineRule="exact"/>
        <w:ind w:right="620"/>
        <w:rPr>
          <w:szCs w:val="18"/>
          <w:lang w:val="es-MX"/>
        </w:rPr>
      </w:pPr>
      <w:r w:rsidRPr="00D54127">
        <w:rPr>
          <w:szCs w:val="18"/>
          <w:lang w:val="es-MX"/>
        </w:rPr>
        <w:t>para organizarse y operar como institución de seguros. ..................................................................</w:t>
      </w:r>
      <w:r w:rsidRPr="00D54127">
        <w:rPr>
          <w:szCs w:val="18"/>
          <w:lang w:val="es-MX"/>
        </w:rPr>
        <w:tab/>
        <w:t>24</w:t>
      </w:r>
    </w:p>
    <w:p w:rsidR="00074054" w:rsidRPr="00D54127" w:rsidRDefault="00074054" w:rsidP="00D54127">
      <w:pPr>
        <w:pStyle w:val="sum"/>
        <w:spacing w:line="326" w:lineRule="exact"/>
        <w:ind w:right="620"/>
        <w:rPr>
          <w:szCs w:val="18"/>
          <w:lang w:val="es-MX"/>
        </w:rPr>
      </w:pPr>
    </w:p>
    <w:p w:rsidR="00074054" w:rsidRPr="00D54127" w:rsidRDefault="00074054" w:rsidP="00D54127">
      <w:pPr>
        <w:pStyle w:val="sum"/>
        <w:spacing w:line="326" w:lineRule="exact"/>
        <w:ind w:right="620"/>
        <w:rPr>
          <w:szCs w:val="18"/>
          <w:lang w:val="es-MX"/>
        </w:rPr>
      </w:pPr>
      <w:r w:rsidRPr="00D54127">
        <w:rPr>
          <w:szCs w:val="18"/>
          <w:lang w:val="es-MX"/>
        </w:rPr>
        <w:lastRenderedPageBreak/>
        <w:t>Notificación  mediante  la  cual  se  da  a  conocer  el  inicio  del  procedimiento  para  emitir  la Declaratoria Administrativa por la que se formalice la nacionalización del inmueble denominado Parroquia  de  Nuestra  Señora  de  Guadalupe  en  Bocas  y  Anexos,  ubicado  en  calle  Miguel Barragán No. 560, Localidad Bocas, Municipio y Estado de San Luis Potosí, el cual es de los comprendidos  por  el  Artículo  Decimoséptimo  Transitorio  de  la  Constitución  Política  de  los Estados Unidos Mexicanos, el cual se encuentra abierto a culto público con anterioridad a las reformas constitucionales del 28 de enero de 1992. ........................................................................</w:t>
      </w:r>
      <w:r w:rsidRPr="00D54127">
        <w:rPr>
          <w:szCs w:val="18"/>
          <w:lang w:val="es-MX"/>
        </w:rPr>
        <w:tab/>
        <w:t>27</w:t>
      </w:r>
    </w:p>
    <w:p w:rsidR="00074054" w:rsidRDefault="00074054" w:rsidP="00D54127">
      <w:pPr>
        <w:pStyle w:val="sum"/>
        <w:spacing w:line="326" w:lineRule="exact"/>
        <w:ind w:right="620"/>
      </w:pPr>
    </w:p>
    <w:p w:rsidR="00074054" w:rsidRPr="00D54127" w:rsidRDefault="00074054" w:rsidP="00D54127">
      <w:pPr>
        <w:pStyle w:val="sum"/>
        <w:spacing w:line="326" w:lineRule="exact"/>
        <w:ind w:right="620"/>
        <w:rPr>
          <w:rFonts w:ascii="Times New Roman" w:hAnsi="Times New Roman" w:cs="Times New Roman"/>
          <w:b/>
          <w:sz w:val="20"/>
          <w:u w:val="single"/>
          <w:lang w:val="es-MX"/>
        </w:rPr>
      </w:pPr>
      <w:r w:rsidRPr="00D54127">
        <w:rPr>
          <w:rFonts w:ascii="Times New Roman" w:hAnsi="Times New Roman" w:cs="Times New Roman"/>
          <w:b/>
          <w:sz w:val="20"/>
          <w:u w:val="single"/>
          <w:lang w:val="es-MX"/>
        </w:rPr>
        <w:t>SECRETARIA DE ECONOMIA</w:t>
      </w:r>
    </w:p>
    <w:p w:rsidR="00074054" w:rsidRPr="00D54127" w:rsidRDefault="00074054" w:rsidP="00D54127">
      <w:pPr>
        <w:pStyle w:val="sum"/>
        <w:spacing w:line="326" w:lineRule="exact"/>
        <w:ind w:right="620"/>
        <w:rPr>
          <w:szCs w:val="18"/>
          <w:lang w:val="es-MX"/>
        </w:rPr>
      </w:pPr>
    </w:p>
    <w:p w:rsidR="00074054" w:rsidRPr="00D54127" w:rsidRDefault="00074054" w:rsidP="00D54127">
      <w:pPr>
        <w:pStyle w:val="sum"/>
        <w:spacing w:line="326" w:lineRule="exact"/>
        <w:ind w:right="620"/>
        <w:rPr>
          <w:szCs w:val="18"/>
          <w:lang w:val="es-MX"/>
        </w:rPr>
      </w:pPr>
      <w:r w:rsidRPr="00D54127">
        <w:rPr>
          <w:szCs w:val="18"/>
          <w:lang w:val="es-MX"/>
        </w:rPr>
        <w:t>Lineamientos de carácter general para la implementación de la Ley de Fomento a la Confianza</w:t>
      </w:r>
    </w:p>
    <w:p w:rsidR="00074054" w:rsidRPr="00D54127" w:rsidRDefault="00074054" w:rsidP="00D54127">
      <w:pPr>
        <w:pStyle w:val="sum"/>
        <w:spacing w:line="326" w:lineRule="exact"/>
        <w:ind w:right="620"/>
        <w:rPr>
          <w:szCs w:val="18"/>
          <w:lang w:val="es-MX"/>
        </w:rPr>
      </w:pPr>
      <w:r w:rsidRPr="00D54127">
        <w:rPr>
          <w:szCs w:val="18"/>
          <w:lang w:val="es-MX"/>
        </w:rPr>
        <w:t>Ciudadana. .......................................................................................................................................</w:t>
      </w:r>
      <w:r w:rsidRPr="00D54127">
        <w:rPr>
          <w:szCs w:val="18"/>
          <w:lang w:val="es-MX"/>
        </w:rPr>
        <w:tab/>
        <w:t>28</w:t>
      </w:r>
    </w:p>
    <w:p w:rsidR="00074054" w:rsidRPr="00D54127" w:rsidRDefault="00074054" w:rsidP="00D54127">
      <w:pPr>
        <w:pStyle w:val="sum"/>
        <w:spacing w:line="326" w:lineRule="exact"/>
        <w:ind w:right="620"/>
        <w:rPr>
          <w:szCs w:val="18"/>
          <w:lang w:val="es-MX"/>
        </w:rPr>
      </w:pPr>
    </w:p>
    <w:p w:rsidR="00074054" w:rsidRPr="00D54127" w:rsidRDefault="00074054" w:rsidP="00D54127">
      <w:pPr>
        <w:pStyle w:val="sum"/>
        <w:spacing w:line="326" w:lineRule="exact"/>
        <w:ind w:right="620"/>
        <w:rPr>
          <w:rFonts w:ascii="Times New Roman" w:hAnsi="Times New Roman" w:cs="Times New Roman"/>
          <w:b/>
          <w:sz w:val="20"/>
          <w:u w:val="single"/>
          <w:lang w:val="es-MX"/>
        </w:rPr>
      </w:pPr>
      <w:r w:rsidRPr="00D54127">
        <w:rPr>
          <w:rFonts w:ascii="Times New Roman" w:hAnsi="Times New Roman" w:cs="Times New Roman"/>
          <w:b/>
          <w:sz w:val="20"/>
          <w:u w:val="single"/>
          <w:lang w:val="es-MX"/>
        </w:rPr>
        <w:t>SECRETARIA DE SALUD</w:t>
      </w:r>
    </w:p>
    <w:p w:rsidR="00074054" w:rsidRPr="00D54127" w:rsidRDefault="00074054" w:rsidP="00D54127">
      <w:pPr>
        <w:pStyle w:val="sum"/>
        <w:spacing w:line="326" w:lineRule="exact"/>
        <w:ind w:right="620"/>
        <w:rPr>
          <w:szCs w:val="18"/>
          <w:lang w:val="es-MX"/>
        </w:rPr>
      </w:pPr>
    </w:p>
    <w:p w:rsidR="00074054" w:rsidRPr="00D54127" w:rsidRDefault="00074054" w:rsidP="00D54127">
      <w:pPr>
        <w:pStyle w:val="sum"/>
        <w:spacing w:line="326" w:lineRule="exact"/>
        <w:ind w:right="620"/>
        <w:rPr>
          <w:szCs w:val="18"/>
          <w:lang w:val="es-MX"/>
        </w:rPr>
      </w:pPr>
      <w:r w:rsidRPr="00D54127">
        <w:rPr>
          <w:szCs w:val="18"/>
          <w:lang w:val="es-MX"/>
        </w:rPr>
        <w:t>Tercer Convenio Modificatorio al Convenio Específico en materia de ministración de subsidios para el fortalecimiento de acciones de salud pública en las entidades federativas, que celebran la Secretaría de Salud y el Estado de Sonora. .....................................................................................</w:t>
      </w:r>
      <w:r w:rsidRPr="00D54127">
        <w:rPr>
          <w:szCs w:val="18"/>
          <w:lang w:val="es-MX"/>
        </w:rPr>
        <w:tab/>
        <w:t>54</w:t>
      </w:r>
    </w:p>
    <w:p w:rsidR="00074054" w:rsidRPr="00D54127" w:rsidRDefault="00074054" w:rsidP="00D54127">
      <w:pPr>
        <w:pStyle w:val="sum"/>
        <w:spacing w:line="326" w:lineRule="exact"/>
        <w:ind w:right="620"/>
        <w:rPr>
          <w:szCs w:val="18"/>
          <w:lang w:val="es-MX"/>
        </w:rPr>
      </w:pPr>
    </w:p>
    <w:p w:rsidR="00074054" w:rsidRPr="00D54127" w:rsidRDefault="00074054" w:rsidP="00D54127">
      <w:pPr>
        <w:pStyle w:val="sum"/>
        <w:spacing w:line="326" w:lineRule="exact"/>
        <w:ind w:right="620"/>
        <w:rPr>
          <w:szCs w:val="18"/>
          <w:lang w:val="es-MX"/>
        </w:rPr>
      </w:pPr>
      <w:r w:rsidRPr="00D54127">
        <w:rPr>
          <w:szCs w:val="18"/>
          <w:lang w:val="es-MX"/>
        </w:rPr>
        <w:t>Tercer Convenio Modificatorio al Convenio Específico en materia de ministración de subsidios para el fortalecimiento de acciones de salud pública en las entidades federativas, que celebran la Secretaría de Salud y el Estado de Tlaxcala. ...................................................................................</w:t>
      </w:r>
      <w:r w:rsidRPr="00D54127">
        <w:rPr>
          <w:szCs w:val="18"/>
          <w:lang w:val="es-MX"/>
        </w:rPr>
        <w:tab/>
        <w:t>113</w:t>
      </w:r>
    </w:p>
    <w:p w:rsidR="00074054" w:rsidRPr="00D54127" w:rsidRDefault="00074054" w:rsidP="00D54127">
      <w:pPr>
        <w:pStyle w:val="sum"/>
        <w:spacing w:line="326" w:lineRule="exact"/>
        <w:ind w:right="620"/>
        <w:rPr>
          <w:szCs w:val="18"/>
          <w:lang w:val="es-MX"/>
        </w:rPr>
      </w:pPr>
      <w:r w:rsidRPr="00D54127">
        <w:rPr>
          <w:szCs w:val="18"/>
          <w:lang w:val="es-MX"/>
        </w:rPr>
        <w:t xml:space="preserve"> </w:t>
      </w:r>
    </w:p>
    <w:p w:rsidR="00074054" w:rsidRDefault="00074054" w:rsidP="00074054">
      <w:r>
        <w:t>276</w:t>
      </w:r>
      <w:r>
        <w:tab/>
        <w:t>DIARIO OFICIAL</w:t>
      </w:r>
      <w:r>
        <w:tab/>
      </w:r>
      <w:proofErr w:type="gramStart"/>
      <w:r>
        <w:t>Jueves</w:t>
      </w:r>
      <w:proofErr w:type="gramEnd"/>
      <w:r>
        <w:t xml:space="preserve"> 20 de febrero de 2020</w:t>
      </w:r>
    </w:p>
    <w:p w:rsidR="00074054" w:rsidRDefault="00074054" w:rsidP="00D54127">
      <w:pPr>
        <w:pStyle w:val="sum"/>
        <w:spacing w:line="326" w:lineRule="exact"/>
        <w:ind w:right="620"/>
      </w:pPr>
    </w:p>
    <w:p w:rsidR="00074054" w:rsidRDefault="00074054" w:rsidP="00074054">
      <w:r>
        <w:t>PODER JUDICIAL</w:t>
      </w:r>
    </w:p>
    <w:p w:rsidR="00074054" w:rsidRDefault="00074054" w:rsidP="00D54127">
      <w:pPr>
        <w:pStyle w:val="sum"/>
        <w:spacing w:line="326" w:lineRule="exact"/>
        <w:ind w:right="620"/>
      </w:pPr>
    </w:p>
    <w:p w:rsidR="00074054" w:rsidRPr="00D54127" w:rsidRDefault="00074054" w:rsidP="00D54127">
      <w:pPr>
        <w:pStyle w:val="sum"/>
        <w:spacing w:line="326" w:lineRule="exact"/>
        <w:ind w:right="620"/>
        <w:rPr>
          <w:rFonts w:ascii="Times New Roman" w:hAnsi="Times New Roman" w:cs="Times New Roman"/>
          <w:b/>
          <w:sz w:val="20"/>
          <w:u w:val="single"/>
          <w:lang w:val="es-MX"/>
        </w:rPr>
      </w:pPr>
      <w:r w:rsidRPr="00D54127">
        <w:rPr>
          <w:rFonts w:ascii="Times New Roman" w:hAnsi="Times New Roman" w:cs="Times New Roman"/>
          <w:b/>
          <w:sz w:val="20"/>
          <w:u w:val="single"/>
          <w:lang w:val="es-MX"/>
        </w:rPr>
        <w:t>SUPREMA CORTE DE JUSTICIA DE LA NACION</w:t>
      </w:r>
    </w:p>
    <w:p w:rsidR="00074054" w:rsidRPr="00D54127" w:rsidRDefault="00074054" w:rsidP="00D54127">
      <w:pPr>
        <w:pStyle w:val="sum"/>
        <w:spacing w:line="326" w:lineRule="exact"/>
        <w:ind w:right="620"/>
        <w:rPr>
          <w:szCs w:val="18"/>
          <w:lang w:val="es-MX"/>
        </w:rPr>
      </w:pPr>
    </w:p>
    <w:p w:rsidR="00074054" w:rsidRPr="00D54127" w:rsidRDefault="00074054" w:rsidP="00D54127">
      <w:pPr>
        <w:pStyle w:val="sum"/>
        <w:spacing w:line="326" w:lineRule="exact"/>
        <w:ind w:right="620"/>
        <w:rPr>
          <w:szCs w:val="18"/>
          <w:lang w:val="es-MX"/>
        </w:rPr>
      </w:pPr>
      <w:r w:rsidRPr="00D54127">
        <w:rPr>
          <w:szCs w:val="18"/>
          <w:lang w:val="es-MX"/>
        </w:rPr>
        <w:t>Acuerdo General número 2/2020, de diez de febrero de dos mil veinte, del Pleno de la Suprema Corte de Justicia de la Nación, por el que se levanta el aplazamiento del dictado de la resolución de los amparos en revisión del conocimiento de los Tribunales Colegiados de Circuito, en los que subsista el problema de constitucionalidad del artículo 25, fracción VI, de la Ley de Ingresos de la Federación para el ejercicio fiscal de 2019, publicada el veintiocho de diciembre de dos mil</w:t>
      </w:r>
    </w:p>
    <w:p w:rsidR="00074054" w:rsidRPr="00D54127" w:rsidRDefault="00074054" w:rsidP="00D54127">
      <w:pPr>
        <w:pStyle w:val="sum"/>
        <w:spacing w:line="326" w:lineRule="exact"/>
        <w:ind w:right="620"/>
        <w:rPr>
          <w:szCs w:val="18"/>
          <w:lang w:val="es-MX"/>
        </w:rPr>
      </w:pPr>
      <w:r w:rsidRPr="00D54127">
        <w:rPr>
          <w:szCs w:val="18"/>
          <w:lang w:val="es-MX"/>
        </w:rPr>
        <w:t>dieciocho; relacionado con el diverso 14/2019, de nueve de septiembre de dos mil diecinueve. ....     166</w:t>
      </w:r>
    </w:p>
    <w:p w:rsidR="00074054" w:rsidRDefault="00074054" w:rsidP="00D54127">
      <w:pPr>
        <w:pStyle w:val="sum"/>
        <w:spacing w:line="326" w:lineRule="exact"/>
        <w:ind w:right="620"/>
      </w:pPr>
    </w:p>
    <w:p w:rsidR="00074054" w:rsidRPr="00D54127" w:rsidRDefault="00074054" w:rsidP="00D54127">
      <w:pPr>
        <w:pStyle w:val="sum"/>
        <w:spacing w:line="326" w:lineRule="exact"/>
        <w:ind w:right="620"/>
        <w:rPr>
          <w:szCs w:val="18"/>
          <w:lang w:val="es-MX"/>
        </w:rPr>
      </w:pPr>
      <w:r w:rsidRPr="00D54127">
        <w:rPr>
          <w:szCs w:val="18"/>
          <w:lang w:val="es-MX"/>
        </w:rPr>
        <w:lastRenderedPageBreak/>
        <w:t>Sentencia dictada por el Tribunal Pleno de la Suprema Corte de Justicia de la Nación en la</w:t>
      </w:r>
    </w:p>
    <w:p w:rsidR="00074054" w:rsidRPr="00D54127" w:rsidRDefault="00074054" w:rsidP="00D54127">
      <w:pPr>
        <w:pStyle w:val="sum"/>
        <w:spacing w:line="326" w:lineRule="exact"/>
        <w:ind w:right="620"/>
        <w:rPr>
          <w:szCs w:val="18"/>
          <w:lang w:val="es-MX"/>
        </w:rPr>
      </w:pPr>
      <w:r w:rsidRPr="00D54127">
        <w:rPr>
          <w:szCs w:val="18"/>
          <w:lang w:val="es-MX"/>
        </w:rPr>
        <w:t>Acción de Inconstitucionalidad 100/2018 y sus acumuladas 102/2018, 103/2018 y 104/2018, así</w:t>
      </w:r>
    </w:p>
    <w:p w:rsidR="00074054" w:rsidRPr="00D54127" w:rsidRDefault="00074054" w:rsidP="00D54127">
      <w:pPr>
        <w:pStyle w:val="sum"/>
        <w:spacing w:line="326" w:lineRule="exact"/>
        <w:ind w:right="620"/>
        <w:rPr>
          <w:szCs w:val="18"/>
          <w:lang w:val="es-MX"/>
        </w:rPr>
      </w:pPr>
      <w:r w:rsidRPr="00D54127">
        <w:rPr>
          <w:szCs w:val="18"/>
          <w:lang w:val="es-MX"/>
        </w:rPr>
        <w:t>como el Voto Concurrente formulado por el Ministro Presidente Arturo Zaldívar Lelo de Larrea. ....     168</w:t>
      </w:r>
    </w:p>
    <w:p w:rsidR="00074054" w:rsidRPr="00D54127" w:rsidRDefault="00074054" w:rsidP="00D54127">
      <w:pPr>
        <w:pStyle w:val="sum"/>
        <w:spacing w:line="326" w:lineRule="exact"/>
        <w:ind w:right="620"/>
        <w:rPr>
          <w:szCs w:val="18"/>
          <w:lang w:val="es-MX"/>
        </w:rPr>
      </w:pPr>
    </w:p>
    <w:p w:rsidR="00074054" w:rsidRPr="00D54127" w:rsidRDefault="00074054" w:rsidP="00D54127">
      <w:pPr>
        <w:pStyle w:val="sum"/>
        <w:spacing w:line="326" w:lineRule="exact"/>
        <w:ind w:right="620"/>
        <w:rPr>
          <w:szCs w:val="18"/>
          <w:lang w:val="es-MX"/>
        </w:rPr>
      </w:pPr>
    </w:p>
    <w:p w:rsidR="00074054" w:rsidRPr="00D54127" w:rsidRDefault="00074054" w:rsidP="00D54127">
      <w:pPr>
        <w:pStyle w:val="sum"/>
        <w:spacing w:line="326" w:lineRule="exact"/>
        <w:ind w:right="620"/>
        <w:rPr>
          <w:szCs w:val="18"/>
          <w:lang w:val="es-MX"/>
        </w:rPr>
      </w:pPr>
    </w:p>
    <w:p w:rsidR="00074054" w:rsidRPr="00D54127" w:rsidRDefault="00074054" w:rsidP="00D54127">
      <w:pPr>
        <w:pStyle w:val="sum"/>
        <w:spacing w:line="326" w:lineRule="exact"/>
        <w:ind w:right="620"/>
        <w:rPr>
          <w:rFonts w:ascii="Times New Roman" w:hAnsi="Times New Roman" w:cs="Times New Roman"/>
          <w:b/>
          <w:sz w:val="20"/>
          <w:u w:val="single"/>
          <w:lang w:val="es-MX"/>
        </w:rPr>
      </w:pPr>
      <w:r w:rsidRPr="00D54127">
        <w:rPr>
          <w:rFonts w:ascii="Times New Roman" w:hAnsi="Times New Roman" w:cs="Times New Roman"/>
          <w:b/>
          <w:sz w:val="20"/>
          <w:u w:val="single"/>
          <w:lang w:val="es-MX"/>
        </w:rPr>
        <w:t>BANCO DE MEXICO</w:t>
      </w:r>
    </w:p>
    <w:p w:rsidR="00074054" w:rsidRPr="00D54127" w:rsidRDefault="00074054" w:rsidP="00D54127">
      <w:pPr>
        <w:pStyle w:val="sum"/>
        <w:spacing w:line="326" w:lineRule="exact"/>
        <w:ind w:right="620"/>
        <w:rPr>
          <w:szCs w:val="18"/>
          <w:lang w:val="es-MX"/>
        </w:rPr>
      </w:pPr>
    </w:p>
    <w:p w:rsidR="00074054" w:rsidRPr="00D54127" w:rsidRDefault="00074054" w:rsidP="00D54127">
      <w:pPr>
        <w:pStyle w:val="sum"/>
        <w:spacing w:line="326" w:lineRule="exact"/>
        <w:ind w:right="620"/>
        <w:rPr>
          <w:szCs w:val="18"/>
          <w:lang w:val="es-MX"/>
        </w:rPr>
      </w:pPr>
      <w:r w:rsidRPr="00D54127">
        <w:rPr>
          <w:szCs w:val="18"/>
          <w:lang w:val="es-MX"/>
        </w:rPr>
        <w:t>Tipo de cambio para solventar obligaciones denominadas en moneda extranjera pagaderas en la</w:t>
      </w:r>
    </w:p>
    <w:p w:rsidR="00074054" w:rsidRPr="00D54127" w:rsidRDefault="00074054" w:rsidP="00D54127">
      <w:pPr>
        <w:pStyle w:val="sum"/>
        <w:spacing w:line="326" w:lineRule="exact"/>
        <w:ind w:right="620"/>
        <w:rPr>
          <w:szCs w:val="18"/>
          <w:lang w:val="es-MX"/>
        </w:rPr>
      </w:pPr>
      <w:r w:rsidRPr="00D54127">
        <w:rPr>
          <w:szCs w:val="18"/>
          <w:lang w:val="es-MX"/>
        </w:rPr>
        <w:t>República Mexicana. ........................................................................................................................</w:t>
      </w:r>
      <w:r w:rsidRPr="00D54127">
        <w:rPr>
          <w:szCs w:val="18"/>
          <w:lang w:val="es-MX"/>
        </w:rPr>
        <w:tab/>
        <w:t>191</w:t>
      </w:r>
    </w:p>
    <w:p w:rsidR="00074054" w:rsidRPr="00D54127" w:rsidRDefault="00074054" w:rsidP="00D54127">
      <w:pPr>
        <w:pStyle w:val="sum"/>
        <w:spacing w:line="326" w:lineRule="exact"/>
        <w:ind w:right="620"/>
        <w:rPr>
          <w:szCs w:val="18"/>
          <w:lang w:val="es-MX"/>
        </w:rPr>
      </w:pPr>
    </w:p>
    <w:p w:rsidR="00074054" w:rsidRPr="00D54127" w:rsidRDefault="00074054" w:rsidP="00D54127">
      <w:pPr>
        <w:pStyle w:val="sum"/>
        <w:spacing w:line="326" w:lineRule="exact"/>
        <w:ind w:right="620"/>
        <w:rPr>
          <w:szCs w:val="18"/>
          <w:lang w:val="es-MX"/>
        </w:rPr>
      </w:pPr>
      <w:r w:rsidRPr="00D54127">
        <w:rPr>
          <w:szCs w:val="18"/>
          <w:lang w:val="es-MX"/>
        </w:rPr>
        <w:t>Tasas de interés interbancarias de equilibrio. ..................................................................................</w:t>
      </w:r>
      <w:r w:rsidRPr="00D54127">
        <w:rPr>
          <w:szCs w:val="18"/>
          <w:lang w:val="es-MX"/>
        </w:rPr>
        <w:tab/>
        <w:t>191</w:t>
      </w:r>
    </w:p>
    <w:p w:rsidR="00074054" w:rsidRPr="00D54127" w:rsidRDefault="00074054" w:rsidP="00D54127">
      <w:pPr>
        <w:pStyle w:val="sum"/>
        <w:spacing w:line="326" w:lineRule="exact"/>
        <w:ind w:right="620"/>
        <w:rPr>
          <w:szCs w:val="18"/>
          <w:lang w:val="es-MX"/>
        </w:rPr>
      </w:pPr>
    </w:p>
    <w:p w:rsidR="00074054" w:rsidRPr="00D54127" w:rsidRDefault="00074054" w:rsidP="00D54127">
      <w:pPr>
        <w:pStyle w:val="sum"/>
        <w:spacing w:line="326" w:lineRule="exact"/>
        <w:ind w:right="620"/>
        <w:rPr>
          <w:szCs w:val="18"/>
          <w:lang w:val="es-MX"/>
        </w:rPr>
      </w:pPr>
      <w:r w:rsidRPr="00D54127">
        <w:rPr>
          <w:szCs w:val="18"/>
          <w:lang w:val="es-MX"/>
        </w:rPr>
        <w:t>Tasa de interés interbancaria de equilibrio de fondeo a un día hábil bancario. ................................</w:t>
      </w:r>
      <w:r w:rsidRPr="00D54127">
        <w:rPr>
          <w:szCs w:val="18"/>
          <w:lang w:val="es-MX"/>
        </w:rPr>
        <w:tab/>
        <w:t>191</w:t>
      </w:r>
    </w:p>
    <w:p w:rsidR="00074054" w:rsidRPr="00D54127" w:rsidRDefault="00074054" w:rsidP="00D54127">
      <w:pPr>
        <w:pStyle w:val="sum"/>
        <w:spacing w:line="326" w:lineRule="exact"/>
        <w:ind w:right="620"/>
        <w:rPr>
          <w:szCs w:val="18"/>
          <w:lang w:val="es-MX"/>
        </w:rPr>
      </w:pPr>
    </w:p>
    <w:p w:rsidR="00074054" w:rsidRPr="00D54127" w:rsidRDefault="00074054" w:rsidP="00D54127">
      <w:pPr>
        <w:pStyle w:val="sum"/>
        <w:spacing w:line="326" w:lineRule="exact"/>
        <w:ind w:right="620"/>
        <w:rPr>
          <w:rFonts w:ascii="Times New Roman" w:hAnsi="Times New Roman" w:cs="Times New Roman"/>
          <w:b/>
          <w:sz w:val="20"/>
          <w:u w:val="single"/>
          <w:lang w:val="es-MX"/>
        </w:rPr>
      </w:pPr>
      <w:r w:rsidRPr="00D54127">
        <w:rPr>
          <w:rFonts w:ascii="Times New Roman" w:hAnsi="Times New Roman" w:cs="Times New Roman"/>
          <w:b/>
          <w:sz w:val="20"/>
          <w:u w:val="single"/>
          <w:lang w:val="es-MX"/>
        </w:rPr>
        <w:t>COMISION FEDERAL DE COMPETENCIA ECONOMICA</w:t>
      </w:r>
    </w:p>
    <w:p w:rsidR="00074054" w:rsidRPr="00D54127" w:rsidRDefault="00074054" w:rsidP="00D54127">
      <w:pPr>
        <w:pStyle w:val="sum"/>
        <w:spacing w:line="326" w:lineRule="exact"/>
        <w:ind w:right="620"/>
        <w:rPr>
          <w:szCs w:val="18"/>
          <w:lang w:val="es-MX"/>
        </w:rPr>
      </w:pPr>
    </w:p>
    <w:p w:rsidR="00074054" w:rsidRPr="00D54127" w:rsidRDefault="00074054" w:rsidP="00D54127">
      <w:pPr>
        <w:pStyle w:val="sum"/>
        <w:spacing w:line="326" w:lineRule="exact"/>
        <w:ind w:right="620"/>
        <w:rPr>
          <w:szCs w:val="18"/>
          <w:lang w:val="es-MX"/>
        </w:rPr>
      </w:pPr>
      <w:r w:rsidRPr="00D54127">
        <w:rPr>
          <w:szCs w:val="18"/>
          <w:lang w:val="es-MX"/>
        </w:rPr>
        <w:t>Aviso por el que la autoridad investigadora de la Comisión Federal de Competencia Económica inicia la investigación por denuncia identificada bajo el número de expediente DE-029-2019, por la posible comisión de prácticas monopólicas absolutas en el mercado del expendio al público de</w:t>
      </w:r>
    </w:p>
    <w:p w:rsidR="00074054" w:rsidRPr="00D54127" w:rsidRDefault="00074054" w:rsidP="00D54127">
      <w:pPr>
        <w:pStyle w:val="sum"/>
        <w:spacing w:line="326" w:lineRule="exact"/>
        <w:ind w:right="620"/>
        <w:rPr>
          <w:szCs w:val="18"/>
          <w:lang w:val="es-MX"/>
        </w:rPr>
      </w:pPr>
      <w:r w:rsidRPr="00D54127">
        <w:rPr>
          <w:szCs w:val="18"/>
          <w:lang w:val="es-MX"/>
        </w:rPr>
        <w:t>diésel marino en estaciones de servicio en el territorio nacional. .....................................................     192</w:t>
      </w:r>
    </w:p>
    <w:p w:rsidR="00074054" w:rsidRPr="00D54127" w:rsidRDefault="00074054" w:rsidP="00D54127">
      <w:pPr>
        <w:pStyle w:val="sum"/>
        <w:spacing w:line="326" w:lineRule="exact"/>
        <w:ind w:right="620"/>
        <w:rPr>
          <w:szCs w:val="18"/>
          <w:lang w:val="es-MX"/>
        </w:rPr>
      </w:pPr>
    </w:p>
    <w:p w:rsidR="00074054" w:rsidRPr="00D54127" w:rsidRDefault="00074054" w:rsidP="00D54127">
      <w:pPr>
        <w:pStyle w:val="sum"/>
        <w:spacing w:line="326" w:lineRule="exact"/>
        <w:ind w:right="620"/>
        <w:rPr>
          <w:rFonts w:ascii="Times New Roman" w:hAnsi="Times New Roman" w:cs="Times New Roman"/>
          <w:b/>
          <w:sz w:val="20"/>
          <w:u w:val="single"/>
          <w:lang w:val="es-MX"/>
        </w:rPr>
      </w:pPr>
      <w:proofErr w:type="gramStart"/>
      <w:r w:rsidRPr="00D54127">
        <w:rPr>
          <w:rFonts w:ascii="Times New Roman" w:hAnsi="Times New Roman" w:cs="Times New Roman"/>
          <w:b/>
          <w:sz w:val="20"/>
          <w:u w:val="single"/>
          <w:lang w:val="es-MX"/>
        </w:rPr>
        <w:t>INSTITUTO  NACIONAL</w:t>
      </w:r>
      <w:proofErr w:type="gramEnd"/>
      <w:r w:rsidRPr="00D54127">
        <w:rPr>
          <w:rFonts w:ascii="Times New Roman" w:hAnsi="Times New Roman" w:cs="Times New Roman"/>
          <w:b/>
          <w:sz w:val="20"/>
          <w:u w:val="single"/>
          <w:lang w:val="es-MX"/>
        </w:rPr>
        <w:t xml:space="preserve">  DE  TRANSPARENCIA,  ACCESO  A  LA  INFORMACION Y PROTECCION DE DATOS PERSONALES</w:t>
      </w:r>
    </w:p>
    <w:p w:rsidR="00074054" w:rsidRPr="00D54127" w:rsidRDefault="00074054" w:rsidP="00D54127">
      <w:pPr>
        <w:pStyle w:val="sum"/>
        <w:spacing w:line="326" w:lineRule="exact"/>
        <w:ind w:right="620"/>
        <w:rPr>
          <w:szCs w:val="18"/>
          <w:lang w:val="es-MX"/>
        </w:rPr>
      </w:pPr>
    </w:p>
    <w:p w:rsidR="00074054" w:rsidRPr="00D54127" w:rsidRDefault="00074054" w:rsidP="00D54127">
      <w:pPr>
        <w:pStyle w:val="sum"/>
        <w:spacing w:line="326" w:lineRule="exact"/>
        <w:ind w:right="620"/>
        <w:rPr>
          <w:szCs w:val="18"/>
          <w:lang w:val="es-MX"/>
        </w:rPr>
      </w:pPr>
      <w:r w:rsidRPr="00D54127">
        <w:rPr>
          <w:szCs w:val="18"/>
          <w:lang w:val="es-MX"/>
        </w:rPr>
        <w:t>Modificación a la Tabla de aplicabilidad de las obligaciones de transparencia comunes de los sujetos obligados del ámbito federal, respecto de las obligaciones de transparencia a cargo de la Auditoría Superior de la Federación. ................................................................................................</w:t>
      </w:r>
      <w:r w:rsidRPr="00D54127">
        <w:rPr>
          <w:szCs w:val="18"/>
          <w:lang w:val="es-MX"/>
        </w:rPr>
        <w:tab/>
        <w:t>194</w:t>
      </w:r>
    </w:p>
    <w:p w:rsidR="00074054" w:rsidRPr="00D54127" w:rsidRDefault="00074054" w:rsidP="00D54127">
      <w:pPr>
        <w:pStyle w:val="sum"/>
        <w:spacing w:line="326" w:lineRule="exact"/>
        <w:ind w:right="620"/>
        <w:rPr>
          <w:szCs w:val="18"/>
          <w:lang w:val="es-MX"/>
        </w:rPr>
      </w:pPr>
    </w:p>
    <w:p w:rsidR="00074054" w:rsidRPr="00D54127" w:rsidRDefault="00074054" w:rsidP="00D54127">
      <w:pPr>
        <w:pStyle w:val="sum"/>
        <w:spacing w:line="326" w:lineRule="exact"/>
        <w:ind w:right="620"/>
        <w:rPr>
          <w:rFonts w:ascii="Times New Roman" w:hAnsi="Times New Roman" w:cs="Times New Roman"/>
          <w:b/>
          <w:sz w:val="20"/>
          <w:u w:val="single"/>
          <w:lang w:val="es-MX"/>
        </w:rPr>
      </w:pPr>
      <w:r w:rsidRPr="00D54127">
        <w:rPr>
          <w:rFonts w:ascii="Times New Roman" w:hAnsi="Times New Roman" w:cs="Times New Roman"/>
          <w:b/>
          <w:sz w:val="20"/>
          <w:u w:val="single"/>
          <w:lang w:val="es-MX"/>
        </w:rPr>
        <w:t>CONVOCATORIAS PARA CONCURSOS DE ADQUISICIONES, ARRENDAMIENTOS, OBRAS Y SERVICIOS DEL SECTOR PUBLICO</w:t>
      </w:r>
    </w:p>
    <w:p w:rsidR="00074054" w:rsidRPr="00D54127" w:rsidRDefault="00074054" w:rsidP="00D54127">
      <w:pPr>
        <w:pStyle w:val="sum"/>
        <w:spacing w:line="326" w:lineRule="exact"/>
        <w:ind w:right="620"/>
        <w:rPr>
          <w:szCs w:val="18"/>
          <w:lang w:val="es-MX"/>
        </w:rPr>
      </w:pPr>
    </w:p>
    <w:p w:rsidR="00074054" w:rsidRPr="00D54127" w:rsidRDefault="00074054" w:rsidP="00D54127">
      <w:pPr>
        <w:pStyle w:val="sum"/>
        <w:spacing w:line="326" w:lineRule="exact"/>
        <w:ind w:right="620"/>
        <w:rPr>
          <w:szCs w:val="18"/>
          <w:lang w:val="es-MX"/>
        </w:rPr>
      </w:pPr>
      <w:r w:rsidRPr="00D54127">
        <w:rPr>
          <w:szCs w:val="18"/>
          <w:lang w:val="es-MX"/>
        </w:rPr>
        <w:t>Licitaciones Públicas Nacionales e Internacionales. ........................................................................</w:t>
      </w:r>
      <w:r w:rsidRPr="00D54127">
        <w:rPr>
          <w:szCs w:val="18"/>
          <w:lang w:val="es-MX"/>
        </w:rPr>
        <w:tab/>
        <w:t>195</w:t>
      </w:r>
    </w:p>
    <w:p w:rsidR="00074054" w:rsidRDefault="00074054" w:rsidP="00D54127">
      <w:pPr>
        <w:pStyle w:val="sum"/>
        <w:spacing w:line="326" w:lineRule="exact"/>
        <w:ind w:right="620"/>
      </w:pPr>
    </w:p>
    <w:p w:rsidR="00074054" w:rsidRPr="00D54127" w:rsidRDefault="00074054" w:rsidP="00D54127">
      <w:pPr>
        <w:pStyle w:val="sum"/>
        <w:spacing w:line="326" w:lineRule="exact"/>
        <w:ind w:right="620"/>
        <w:rPr>
          <w:rFonts w:ascii="Times New Roman" w:hAnsi="Times New Roman" w:cs="Times New Roman"/>
          <w:b/>
          <w:sz w:val="20"/>
          <w:u w:val="single"/>
          <w:lang w:val="es-MX"/>
        </w:rPr>
      </w:pPr>
      <w:r w:rsidRPr="00D54127">
        <w:rPr>
          <w:rFonts w:ascii="Times New Roman" w:hAnsi="Times New Roman" w:cs="Times New Roman"/>
          <w:b/>
          <w:sz w:val="20"/>
          <w:u w:val="single"/>
          <w:lang w:val="es-MX"/>
        </w:rPr>
        <w:t>AVISOS</w:t>
      </w:r>
    </w:p>
    <w:p w:rsidR="00074054" w:rsidRPr="00D54127" w:rsidRDefault="00074054" w:rsidP="00D54127">
      <w:pPr>
        <w:pStyle w:val="sum"/>
        <w:spacing w:line="326" w:lineRule="exact"/>
        <w:ind w:right="620"/>
        <w:rPr>
          <w:szCs w:val="18"/>
          <w:lang w:val="es-MX"/>
        </w:rPr>
      </w:pPr>
      <w:bookmarkStart w:id="0" w:name="_GoBack"/>
    </w:p>
    <w:p w:rsidR="00854E25" w:rsidRPr="00D54127" w:rsidRDefault="00074054" w:rsidP="00D54127">
      <w:pPr>
        <w:pStyle w:val="sum"/>
        <w:spacing w:line="326" w:lineRule="exact"/>
        <w:ind w:right="620"/>
        <w:rPr>
          <w:szCs w:val="18"/>
          <w:lang w:val="es-MX"/>
        </w:rPr>
      </w:pPr>
      <w:r w:rsidRPr="00D54127">
        <w:rPr>
          <w:szCs w:val="18"/>
          <w:lang w:val="es-MX"/>
        </w:rPr>
        <w:t>Judiciales y generales. .....................................................................................................................</w:t>
      </w:r>
      <w:r w:rsidRPr="00D54127">
        <w:rPr>
          <w:szCs w:val="18"/>
          <w:lang w:val="es-MX"/>
        </w:rPr>
        <w:tab/>
        <w:t>252</w:t>
      </w:r>
      <w:bookmarkEnd w:id="0"/>
    </w:p>
    <w:sectPr w:rsidR="00854E25" w:rsidRPr="00D54127">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6B1" w:rsidRDefault="00D356B1" w:rsidP="00074054">
      <w:pPr>
        <w:spacing w:after="0" w:line="240" w:lineRule="auto"/>
      </w:pPr>
      <w:r>
        <w:separator/>
      </w:r>
    </w:p>
  </w:endnote>
  <w:endnote w:type="continuationSeparator" w:id="0">
    <w:p w:rsidR="00D356B1" w:rsidRDefault="00D356B1" w:rsidP="00074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6B1" w:rsidRDefault="00D356B1" w:rsidP="00074054">
      <w:pPr>
        <w:spacing w:after="0" w:line="240" w:lineRule="auto"/>
      </w:pPr>
      <w:r>
        <w:separator/>
      </w:r>
    </w:p>
  </w:footnote>
  <w:footnote w:type="continuationSeparator" w:id="0">
    <w:p w:rsidR="00D356B1" w:rsidRDefault="00D356B1" w:rsidP="00074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054" w:rsidRPr="00074054" w:rsidRDefault="00074054" w:rsidP="00074054">
    <w:pPr>
      <w:widowControl w:val="0"/>
      <w:tabs>
        <w:tab w:val="left" w:pos="3740"/>
        <w:tab w:val="left" w:pos="8280"/>
      </w:tabs>
      <w:autoSpaceDE w:val="0"/>
      <w:autoSpaceDN w:val="0"/>
      <w:adjustRightInd w:val="0"/>
      <w:spacing w:before="72" w:after="0" w:line="203" w:lineRule="exact"/>
      <w:ind w:left="267" w:right="-20"/>
      <w:rPr>
        <w:rFonts w:ascii="Times New Roman" w:hAnsi="Times New Roman"/>
        <w:sz w:val="18"/>
        <w:szCs w:val="18"/>
      </w:rPr>
    </w:pPr>
    <w:r>
      <w:rPr>
        <w:noProof/>
        <w:lang w:eastAsia="es-MX"/>
      </w:rPr>
      <mc:AlternateContent>
        <mc:Choice Requires="wpg">
          <w:drawing>
            <wp:anchor distT="0" distB="0" distL="114300" distR="114300" simplePos="0" relativeHeight="251659264" behindDoc="1" locked="0" layoutInCell="0" allowOverlap="1">
              <wp:simplePos x="0" y="0"/>
              <wp:positionH relativeFrom="page">
                <wp:posOffset>1236980</wp:posOffset>
              </wp:positionH>
              <wp:positionV relativeFrom="paragraph">
                <wp:posOffset>191770</wp:posOffset>
              </wp:positionV>
              <wp:extent cx="5297805" cy="28575"/>
              <wp:effectExtent l="0" t="0" r="0" b="0"/>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7805" cy="28575"/>
                        <a:chOff x="1948" y="302"/>
                        <a:chExt cx="8343" cy="45"/>
                      </a:xfrm>
                    </wpg:grpSpPr>
                    <wps:wsp>
                      <wps:cNvPr id="6" name="Freeform 2"/>
                      <wps:cNvSpPr>
                        <a:spLocks/>
                      </wps:cNvSpPr>
                      <wps:spPr bwMode="auto">
                        <a:xfrm>
                          <a:off x="1957" y="339"/>
                          <a:ext cx="8325" cy="0"/>
                        </a:xfrm>
                        <a:custGeom>
                          <a:avLst/>
                          <a:gdLst>
                            <a:gd name="T0" fmla="*/ 0 w 8325"/>
                            <a:gd name="T1" fmla="*/ 8325 w 8325"/>
                          </a:gdLst>
                          <a:ahLst/>
                          <a:cxnLst>
                            <a:cxn ang="0">
                              <a:pos x="T0" y="0"/>
                            </a:cxn>
                            <a:cxn ang="0">
                              <a:pos x="T1" y="0"/>
                            </a:cxn>
                          </a:cxnLst>
                          <a:rect l="0" t="0" r="r" b="b"/>
                          <a:pathLst>
                            <a:path w="8325">
                              <a:moveTo>
                                <a:pt x="0" y="0"/>
                              </a:moveTo>
                              <a:lnTo>
                                <a:pt x="832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3"/>
                      <wps:cNvSpPr>
                        <a:spLocks/>
                      </wps:cNvSpPr>
                      <wps:spPr bwMode="auto">
                        <a:xfrm>
                          <a:off x="1957" y="310"/>
                          <a:ext cx="8325" cy="0"/>
                        </a:xfrm>
                        <a:custGeom>
                          <a:avLst/>
                          <a:gdLst>
                            <a:gd name="T0" fmla="*/ 0 w 8325"/>
                            <a:gd name="T1" fmla="*/ 8325 w 8325"/>
                          </a:gdLst>
                          <a:ahLst/>
                          <a:cxnLst>
                            <a:cxn ang="0">
                              <a:pos x="T0" y="0"/>
                            </a:cxn>
                            <a:cxn ang="0">
                              <a:pos x="T1" y="0"/>
                            </a:cxn>
                          </a:cxnLst>
                          <a:rect l="0" t="0" r="r" b="b"/>
                          <a:pathLst>
                            <a:path w="8325">
                              <a:moveTo>
                                <a:pt x="0" y="0"/>
                              </a:moveTo>
                              <a:lnTo>
                                <a:pt x="832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DD7BA6" id="Grupo 5" o:spid="_x0000_s1026" style="position:absolute;margin-left:97.4pt;margin-top:15.1pt;width:417.15pt;height:2.25pt;z-index:-251657216;mso-position-horizontal-relative:page" coordorigin="1948,302" coordsize="83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" o:allowincell="f">
              <v:shape id="Freeform 2" o:spid="_x0000_s1027" style="position:absolute;left:1957;top:339;width:8325;height:0;visibility:visible;mso-wrap-style:square;v-text-anchor:top" coordsize="8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" path="m,l8325,e" filled="f" strokeweight=".82pt">
                <v:path arrowok="t" o:connecttype="custom" o:connectlocs="0,0;8325,0" o:connectangles="0,0"/>
              </v:shape>
              <v:shape id="Freeform 3" o:spid="_x0000_s1028" style="position:absolute;left:1957;top:310;width:8325;height:0;visibility:visible;mso-wrap-style:square;v-text-anchor:top" coordsize="8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" path="m,l8325,e" filled="f" strokeweight=".82pt">
                <v:path arrowok="t" o:connecttype="custom" o:connectlocs="0,0;8325,0" o:connectangles="0,0"/>
              </v:shape>
              <w10:wrap anchorx="page"/>
            </v:group>
          </w:pict>
        </mc:Fallback>
      </mc:AlternateContent>
    </w:r>
    <w:r>
      <w:rPr>
        <w:rFonts w:ascii="Times New Roman" w:hAnsi="Times New Roman"/>
        <w:position w:val="-1"/>
        <w:sz w:val="18"/>
        <w:szCs w:val="18"/>
      </w:rPr>
      <w:t>Jueves</w:t>
    </w:r>
    <w:r>
      <w:rPr>
        <w:rFonts w:ascii="Times New Roman" w:hAnsi="Times New Roman"/>
        <w:spacing w:val="1"/>
        <w:position w:val="-1"/>
        <w:sz w:val="18"/>
        <w:szCs w:val="18"/>
      </w:rPr>
      <w:t xml:space="preserve"> </w:t>
    </w:r>
    <w:r>
      <w:rPr>
        <w:rFonts w:ascii="Times New Roman" w:hAnsi="Times New Roman"/>
        <w:position w:val="-1"/>
        <w:sz w:val="18"/>
        <w:szCs w:val="18"/>
      </w:rPr>
      <w:t>20</w:t>
    </w:r>
    <w:r>
      <w:rPr>
        <w:rFonts w:ascii="Times New Roman" w:hAnsi="Times New Roman"/>
        <w:spacing w:val="1"/>
        <w:position w:val="-1"/>
        <w:sz w:val="18"/>
        <w:szCs w:val="18"/>
      </w:rPr>
      <w:t xml:space="preserve"> </w:t>
    </w:r>
    <w:r>
      <w:rPr>
        <w:rFonts w:ascii="Times New Roman" w:hAnsi="Times New Roman"/>
        <w:spacing w:val="-1"/>
        <w:position w:val="-1"/>
        <w:sz w:val="18"/>
        <w:szCs w:val="18"/>
      </w:rPr>
      <w:t>d</w:t>
    </w:r>
    <w:r>
      <w:rPr>
        <w:rFonts w:ascii="Times New Roman" w:hAnsi="Times New Roman"/>
        <w:position w:val="-1"/>
        <w:sz w:val="18"/>
        <w:szCs w:val="18"/>
      </w:rPr>
      <w:t>e</w:t>
    </w:r>
    <w:r>
      <w:rPr>
        <w:rFonts w:ascii="Times New Roman" w:hAnsi="Times New Roman"/>
        <w:spacing w:val="1"/>
        <w:position w:val="-1"/>
        <w:sz w:val="18"/>
        <w:szCs w:val="18"/>
      </w:rPr>
      <w:t xml:space="preserve"> </w:t>
    </w:r>
    <w:r>
      <w:rPr>
        <w:rFonts w:ascii="Times New Roman" w:hAnsi="Times New Roman"/>
        <w:spacing w:val="-1"/>
        <w:position w:val="-1"/>
        <w:sz w:val="18"/>
        <w:szCs w:val="18"/>
      </w:rPr>
      <w:t>f</w:t>
    </w:r>
    <w:r>
      <w:rPr>
        <w:rFonts w:ascii="Times New Roman" w:hAnsi="Times New Roman"/>
        <w:spacing w:val="1"/>
        <w:position w:val="-1"/>
        <w:sz w:val="18"/>
        <w:szCs w:val="18"/>
      </w:rPr>
      <w:t>e</w:t>
    </w:r>
    <w:r>
      <w:rPr>
        <w:rFonts w:ascii="Times New Roman" w:hAnsi="Times New Roman"/>
        <w:spacing w:val="-1"/>
        <w:position w:val="-1"/>
        <w:sz w:val="18"/>
        <w:szCs w:val="18"/>
      </w:rPr>
      <w:t>b</w:t>
    </w:r>
    <w:r>
      <w:rPr>
        <w:rFonts w:ascii="Times New Roman" w:hAnsi="Times New Roman"/>
        <w:position w:val="-1"/>
        <w:sz w:val="18"/>
        <w:szCs w:val="18"/>
      </w:rPr>
      <w:t>rero</w:t>
    </w:r>
    <w:r>
      <w:rPr>
        <w:rFonts w:ascii="Times New Roman" w:hAnsi="Times New Roman"/>
        <w:spacing w:val="1"/>
        <w:position w:val="-1"/>
        <w:sz w:val="18"/>
        <w:szCs w:val="18"/>
      </w:rPr>
      <w:t xml:space="preserve"> </w:t>
    </w:r>
    <w:r>
      <w:rPr>
        <w:rFonts w:ascii="Times New Roman" w:hAnsi="Times New Roman"/>
        <w:position w:val="-1"/>
        <w:sz w:val="18"/>
        <w:szCs w:val="18"/>
      </w:rPr>
      <w:t>de</w:t>
    </w:r>
    <w:r>
      <w:rPr>
        <w:rFonts w:ascii="Times New Roman" w:hAnsi="Times New Roman"/>
        <w:spacing w:val="1"/>
        <w:position w:val="-1"/>
        <w:sz w:val="18"/>
        <w:szCs w:val="18"/>
      </w:rPr>
      <w:t xml:space="preserve"> </w:t>
    </w:r>
    <w:r>
      <w:rPr>
        <w:rFonts w:ascii="Times New Roman" w:hAnsi="Times New Roman"/>
        <w:position w:val="-1"/>
        <w:sz w:val="18"/>
        <w:szCs w:val="18"/>
      </w:rPr>
      <w:t>2020</w:t>
    </w:r>
    <w:r>
      <w:rPr>
        <w:rFonts w:ascii="Times New Roman" w:hAnsi="Times New Roman"/>
        <w:position w:val="-1"/>
        <w:sz w:val="18"/>
        <w:szCs w:val="18"/>
      </w:rPr>
      <w:tab/>
      <w:t>DIARIO</w:t>
    </w:r>
    <w:r>
      <w:rPr>
        <w:rFonts w:ascii="Times New Roman" w:hAnsi="Times New Roman"/>
        <w:spacing w:val="1"/>
        <w:position w:val="-1"/>
        <w:sz w:val="18"/>
        <w:szCs w:val="18"/>
      </w:rPr>
      <w:t xml:space="preserve"> </w:t>
    </w:r>
    <w:r>
      <w:rPr>
        <w:rFonts w:ascii="Times New Roman" w:hAnsi="Times New Roman"/>
        <w:position w:val="-1"/>
        <w:sz w:val="18"/>
        <w:szCs w:val="18"/>
      </w:rPr>
      <w:t>OFIC</w:t>
    </w:r>
    <w:r>
      <w:rPr>
        <w:rFonts w:ascii="Times New Roman" w:hAnsi="Times New Roman"/>
        <w:spacing w:val="1"/>
        <w:position w:val="-1"/>
        <w:sz w:val="18"/>
        <w:szCs w:val="18"/>
      </w:rPr>
      <w:t>I</w:t>
    </w:r>
    <w:r>
      <w:rPr>
        <w:rFonts w:ascii="Times New Roman" w:hAnsi="Times New Roman"/>
        <w:position w:val="-1"/>
        <w:sz w:val="18"/>
        <w:szCs w:val="18"/>
      </w:rPr>
      <w:t>AL</w:t>
    </w:r>
    <w:r>
      <w:rPr>
        <w:rFonts w:ascii="Times New Roman" w:hAnsi="Times New Roman"/>
        <w:position w:val="-1"/>
        <w:sz w:val="18"/>
        <w:szCs w:val="1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54"/>
    <w:rsid w:val="00074054"/>
    <w:rsid w:val="0067239B"/>
    <w:rsid w:val="00854E25"/>
    <w:rsid w:val="00D356B1"/>
    <w:rsid w:val="00D541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7BB379-9088-4C99-AAE0-C1314360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40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4054"/>
  </w:style>
  <w:style w:type="paragraph" w:styleId="Piedepgina">
    <w:name w:val="footer"/>
    <w:basedOn w:val="Normal"/>
    <w:link w:val="PiedepginaCar"/>
    <w:uiPriority w:val="99"/>
    <w:unhideWhenUsed/>
    <w:rsid w:val="000740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4054"/>
  </w:style>
  <w:style w:type="paragraph" w:customStyle="1" w:styleId="sum">
    <w:name w:val="sum"/>
    <w:basedOn w:val="Normal"/>
    <w:link w:val="sumCar"/>
    <w:rsid w:val="00D54127"/>
    <w:pPr>
      <w:tabs>
        <w:tab w:val="right" w:leader="dot" w:pos="8100"/>
        <w:tab w:val="right" w:pos="8640"/>
      </w:tabs>
      <w:spacing w:after="0" w:line="266" w:lineRule="exact"/>
      <w:ind w:left="274" w:right="749"/>
      <w:jc w:val="both"/>
    </w:pPr>
    <w:rPr>
      <w:rFonts w:ascii="Arial" w:eastAsia="Times New Roman" w:hAnsi="Arial" w:cs="Arial"/>
      <w:sz w:val="18"/>
      <w:szCs w:val="20"/>
      <w:lang w:val="es-ES_tradnl" w:eastAsia="es-ES"/>
    </w:rPr>
  </w:style>
  <w:style w:type="character" w:customStyle="1" w:styleId="sumCar">
    <w:name w:val="sum Car"/>
    <w:link w:val="sum"/>
    <w:rsid w:val="00D54127"/>
    <w:rPr>
      <w:rFonts w:ascii="Arial" w:eastAsia="Times New Roman" w:hAnsi="Arial" w:cs="Arial"/>
      <w:sz w:val="1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1038</Words>
  <Characters>5712</Characters>
  <Application>Microsoft Office Word</Application>
  <DocSecurity>0</DocSecurity>
  <Lines>47</Lines>
  <Paragraphs>13</Paragraphs>
  <ScaleCrop>false</ScaleCrop>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Cruz Caloch</dc:creator>
  <cp:keywords/>
  <dc:description/>
  <cp:lastModifiedBy>Leticia Cruz Caloch</cp:lastModifiedBy>
  <cp:revision>2</cp:revision>
  <dcterms:created xsi:type="dcterms:W3CDTF">2020-02-20T15:45:00Z</dcterms:created>
  <dcterms:modified xsi:type="dcterms:W3CDTF">2020-02-20T15:50:00Z</dcterms:modified>
</cp:coreProperties>
</file>