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D2" w:rsidRPr="004B291D" w:rsidRDefault="00D521D2" w:rsidP="004B291D">
      <w:pPr>
        <w:spacing w:after="0" w:line="326" w:lineRule="exact"/>
        <w:ind w:right="620"/>
        <w:jc w:val="center"/>
        <w:outlineLvl w:val="0"/>
        <w:rPr>
          <w:rFonts w:ascii="Times New Roman" w:eastAsia="Times New Roman" w:hAnsi="Times New Roman" w:cs="Times New Roman"/>
          <w:b/>
          <w:bCs/>
          <w:sz w:val="20"/>
          <w:szCs w:val="20"/>
          <w:lang w:eastAsia="es-MX"/>
        </w:rPr>
      </w:pPr>
      <w:bookmarkStart w:id="0" w:name="_GoBack"/>
      <w:bookmarkEnd w:id="0"/>
      <w:r w:rsidRPr="004B291D">
        <w:rPr>
          <w:rFonts w:ascii="Times New Roman" w:eastAsia="Times New Roman" w:hAnsi="Times New Roman" w:cs="Times New Roman"/>
          <w:b/>
          <w:bCs/>
          <w:sz w:val="20"/>
          <w:szCs w:val="20"/>
          <w:lang w:eastAsia="es-MX"/>
        </w:rPr>
        <w:t xml:space="preserve">INDICE </w:t>
      </w:r>
    </w:p>
    <w:p w:rsidR="00D521D2" w:rsidRPr="004B291D" w:rsidRDefault="00D521D2" w:rsidP="004B291D">
      <w:pPr>
        <w:spacing w:after="0" w:line="326" w:lineRule="exact"/>
        <w:ind w:right="620"/>
        <w:jc w:val="center"/>
        <w:outlineLvl w:val="0"/>
        <w:rPr>
          <w:rFonts w:ascii="Times New Roman" w:eastAsia="Times New Roman" w:hAnsi="Times New Roman" w:cs="Times New Roman"/>
          <w:b/>
          <w:bCs/>
          <w:sz w:val="20"/>
          <w:szCs w:val="20"/>
          <w:lang w:eastAsia="es-MX"/>
        </w:rPr>
      </w:pPr>
      <w:r w:rsidRPr="004B291D">
        <w:rPr>
          <w:rFonts w:ascii="Times New Roman" w:eastAsia="Times New Roman" w:hAnsi="Times New Roman" w:cs="Times New Roman"/>
          <w:b/>
          <w:bCs/>
          <w:sz w:val="20"/>
          <w:szCs w:val="20"/>
          <w:lang w:eastAsia="es-MX"/>
        </w:rPr>
        <w:t>PODER EJECUTIVO</w:t>
      </w:r>
    </w:p>
    <w:p w:rsidR="00D521D2" w:rsidRDefault="00D521D2" w:rsidP="004B291D">
      <w:pPr>
        <w:pStyle w:val="sum"/>
        <w:spacing w:line="326" w:lineRule="exact"/>
        <w:ind w:right="620"/>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SECRETARIA DE GOBERNACION</w:t>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 xml:space="preserve">Convenio de Coordinación que celebran la Secretaría de Gobernación y el Estado de México, para promover la adopción, el uso y la certificación de la Clave Única de Registro de Población (CURP), entre los usuarios de la Dirección General del Sistema Estatal de Informática.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SECRETARIA DE RELACIONES EXTERIORES</w:t>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 xml:space="preserve">Decreto </w:t>
      </w:r>
      <w:proofErr w:type="spellStart"/>
      <w:r w:rsidRPr="004B291D">
        <w:rPr>
          <w:szCs w:val="18"/>
          <w:lang w:val="es-MX"/>
        </w:rPr>
        <w:t>Promulgatorio</w:t>
      </w:r>
      <w:proofErr w:type="spellEnd"/>
      <w:r w:rsidRPr="004B291D">
        <w:rPr>
          <w:szCs w:val="18"/>
          <w:lang w:val="es-MX"/>
        </w:rPr>
        <w:t xml:space="preserve"> del Acuerdo sobre Servicios Aéreos entre el Gobierno de los Estados Unidos Mexicanos y el Gobierno de la República de Finlandia, hecho en la Ciudad de México el catorce de febrero de dos mil diecinueve.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SECRETARIA DE HACIENDA Y CREDITO PUBLICO</w:t>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Bases para el proceso de desincorporación, por fusión, de la Lotería Nacional para la Asistencia</w:t>
      </w:r>
      <w:r w:rsidR="004B291D">
        <w:rPr>
          <w:szCs w:val="18"/>
          <w:lang w:val="es-MX"/>
        </w:rPr>
        <w:t xml:space="preserve"> </w:t>
      </w:r>
      <w:r w:rsidRPr="004B291D">
        <w:rPr>
          <w:szCs w:val="18"/>
          <w:lang w:val="es-MX"/>
        </w:rPr>
        <w:t xml:space="preserve">Pública con Pronósticos para la Asistencia Pública.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 xml:space="preserve">Acuerdo por el que se dan a conocer las cuotas por el trasvase de aguas nacionales.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Default="00D521D2" w:rsidP="004B291D">
      <w:pPr>
        <w:pStyle w:val="sum"/>
        <w:spacing w:line="326" w:lineRule="exact"/>
        <w:ind w:right="620"/>
      </w:pPr>
      <w:r w:rsidRPr="004B291D">
        <w:rPr>
          <w:szCs w:val="18"/>
          <w:lang w:val="es-MX"/>
        </w:rPr>
        <w:t>Ac</w:t>
      </w:r>
      <w:r>
        <w:t xml:space="preserve">uerdo por el que se desincorpora del régimen de dominio público de la Federación y se autoriza la cesión de derechos posesorios a título gratuito al patrimonio de la Comisión Nacional Forestal (CONAFOR), el inmueble con superficie de 1,458.07 metros cuadrados, denominado Campamento Forestal </w:t>
      </w:r>
      <w:proofErr w:type="spellStart"/>
      <w:r>
        <w:t>Zacango</w:t>
      </w:r>
      <w:proofErr w:type="spellEnd"/>
      <w:r>
        <w:t xml:space="preserve">, ubicado en Carretera Libre Ixtapan de la Sal-San Miguel de las Laderas, kilómetro 14, Paraje Plan de San Miguel, Municipio de Ixtapan de la Sal, Estado de México, con Registro Federal Inmobiliario número 15-9117-3. </w:t>
      </w:r>
      <w:r w:rsidR="00986293">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Acuerdo por el que se modifican las Reglas Generales para la aplicación del Estímulo Fiscal a</w:t>
      </w:r>
      <w:r w:rsidR="004B291D">
        <w:rPr>
          <w:szCs w:val="18"/>
          <w:lang w:val="es-MX"/>
        </w:rPr>
        <w:t xml:space="preserve"> </w:t>
      </w:r>
      <w:r w:rsidRPr="004B291D">
        <w:rPr>
          <w:szCs w:val="18"/>
          <w:lang w:val="es-MX"/>
        </w:rPr>
        <w:t xml:space="preserve">Proyectos de Inversión en la Producción y Distribución Cinematográfica Nacional.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SECRETARIA DE ECONOMIA</w:t>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 xml:space="preserve">Reglas de Operación del Programa de Microcréditos para el Bienestar 2020.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SECRETARIA DE SALUD</w:t>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lastRenderedPageBreak/>
        <w:t xml:space="preserve">Tercer Convenio Modificatorio al Convenio Específico en materia de ministración de subsidios para el fortalecimiento de acciones de salud pública en las entidades federativas, que celebran la Secretaría de Salud y el Estado de Querétaro.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 xml:space="preserve">Tercer Convenio Modificatorio al Convenio Específico en materia de ministración de subsidios para el fortalecimiento de acciones de salud pública en las entidades federativas, que celebran la Secretaría de Salud y el Estado de Tabasco.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SECRETARIA DE DESARROLLO AGRARIO, TERRITORIAL Y URBANO</w:t>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proofErr w:type="gramStart"/>
      <w:r w:rsidRPr="004B291D">
        <w:rPr>
          <w:szCs w:val="18"/>
          <w:lang w:val="es-MX"/>
        </w:rPr>
        <w:t>Decreto  por</w:t>
      </w:r>
      <w:proofErr w:type="gramEnd"/>
      <w:r w:rsidRPr="004B291D">
        <w:rPr>
          <w:szCs w:val="18"/>
          <w:lang w:val="es-MX"/>
        </w:rPr>
        <w:t xml:space="preserve">  el  que  se  expropia  por  causa  de  utilidad  pública  una  superficie  de  188-66-90 hectáreas de terrenos de agostadero de uso común, de la comunidad </w:t>
      </w:r>
      <w:proofErr w:type="spellStart"/>
      <w:r w:rsidRPr="004B291D">
        <w:rPr>
          <w:szCs w:val="18"/>
          <w:lang w:val="es-MX"/>
        </w:rPr>
        <w:t>Tetlama</w:t>
      </w:r>
      <w:proofErr w:type="spellEnd"/>
      <w:r w:rsidRPr="004B291D">
        <w:rPr>
          <w:szCs w:val="18"/>
          <w:lang w:val="es-MX"/>
        </w:rPr>
        <w:t xml:space="preserve">, Municipio de Temixco, Mor.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INSTITUTO DE SEGURIDAD Y SERVICIOS SOCIALES DE LOS TRABAJADORES DEL ESTADO</w:t>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proofErr w:type="gramStart"/>
      <w:r w:rsidRPr="004B291D">
        <w:rPr>
          <w:szCs w:val="18"/>
          <w:lang w:val="es-MX"/>
        </w:rPr>
        <w:t>Acuerdo  31.1367.2019</w:t>
      </w:r>
      <w:proofErr w:type="gramEnd"/>
      <w:r w:rsidRPr="004B291D">
        <w:rPr>
          <w:szCs w:val="18"/>
          <w:lang w:val="es-MX"/>
        </w:rPr>
        <w:t xml:space="preserve">  de  la  Junta  Directiva  por  el  que  se  aprueba  el  Esquema  Crediticio</w:t>
      </w:r>
      <w:r w:rsidR="004B291D">
        <w:rPr>
          <w:szCs w:val="18"/>
          <w:lang w:val="es-MX"/>
        </w:rPr>
        <w:t xml:space="preserve"> </w:t>
      </w:r>
      <w:r w:rsidRPr="004B291D">
        <w:rPr>
          <w:szCs w:val="18"/>
          <w:lang w:val="es-MX"/>
        </w:rPr>
        <w:t xml:space="preserve">FOVISSSTE PARA TODOS.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BANCO DE MEXICO</w:t>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Tipo de cambio para solventar obligaciones denominadas en moneda extranjera pagaderas en la</w:t>
      </w:r>
      <w:r w:rsidR="004B291D">
        <w:rPr>
          <w:szCs w:val="18"/>
          <w:lang w:val="es-MX"/>
        </w:rPr>
        <w:t xml:space="preserve"> </w:t>
      </w:r>
      <w:r w:rsidRPr="004B291D">
        <w:rPr>
          <w:szCs w:val="18"/>
          <w:lang w:val="es-MX"/>
        </w:rPr>
        <w:t xml:space="preserve">República Mexicana.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 xml:space="preserve">Tasas de interés interbancarias de equilibrio.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 xml:space="preserve">Tasa de interés interbancaria de equilibrio de fondeo a un día hábil bancario.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INSTITUTO NACIONAL ELECTORAL</w:t>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Acuerdo del Consejo General del Instituto Nacional Electoral por el que se presentan las medidas de racionalidad y disciplina presupuestaria derivadas de las obligaciones de la Ley Federal de Presupuesto y Responsabilidad Hacendaria y del Decreto de Presupuesto de Egresos de la Federación para el ejercicio fiscal 2020, a propuesta de la Junta General Ejecutiva.</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 xml:space="preserve">Resolución    del    Consejo    General    del    Instituto    Nacional    Electoral    respecto    del </w:t>
      </w:r>
      <w:proofErr w:type="gramStart"/>
      <w:r w:rsidRPr="004B291D">
        <w:rPr>
          <w:szCs w:val="18"/>
          <w:lang w:val="es-MX"/>
        </w:rPr>
        <w:t>procedimiento  administrativo</w:t>
      </w:r>
      <w:proofErr w:type="gramEnd"/>
      <w:r w:rsidRPr="004B291D">
        <w:rPr>
          <w:szCs w:val="18"/>
          <w:lang w:val="es-MX"/>
        </w:rPr>
        <w:t xml:space="preserve">  sancionador  oficioso  en  materia  de  fiscalización,  instaurado en  </w:t>
      </w:r>
      <w:r w:rsidRPr="004B291D">
        <w:rPr>
          <w:szCs w:val="18"/>
          <w:lang w:val="es-MX"/>
        </w:rPr>
        <w:lastRenderedPageBreak/>
        <w:t>contra  del  otrora  Partido  Encuentro  Social,  identificado  con  el  número  de  expediente</w:t>
      </w:r>
      <w:r w:rsidR="004B291D">
        <w:rPr>
          <w:szCs w:val="18"/>
          <w:lang w:val="es-MX"/>
        </w:rPr>
        <w:t xml:space="preserve"> </w:t>
      </w:r>
      <w:r w:rsidRPr="004B291D">
        <w:rPr>
          <w:szCs w:val="18"/>
          <w:lang w:val="es-MX"/>
        </w:rPr>
        <w:t xml:space="preserve">INE/P-COF-UTF/10/2016.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Resolución del Consejo General del Instituto Nacional Electoral respecto del procedimiento administrativo   sancionador   oficioso   en   materia   de   Fiscalización,   instaurado   en   contra de   la   otrora   coalición   “Juntos   Haremos   Historia”   integrada   por   los   partidos   políticos Morena, del Trabajo y el otrora Encuentro Social, así como de su entonces candidata a la Presidencia Municipal de Corregidora, Querétaro, C. María Gabriela Moreno Mayorga en el Proceso  Electoral  Local  Ordinario  2017-2018,  identificado  con  el  número  de  expediente</w:t>
      </w:r>
      <w:r w:rsidR="004B291D">
        <w:rPr>
          <w:szCs w:val="18"/>
          <w:lang w:val="es-MX"/>
        </w:rPr>
        <w:t xml:space="preserve"> </w:t>
      </w:r>
      <w:r w:rsidRPr="004B291D">
        <w:rPr>
          <w:szCs w:val="18"/>
          <w:lang w:val="es-MX"/>
        </w:rPr>
        <w:t xml:space="preserve">INE/P-COF-UTF/728/2018/QRO.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CONVOCATORIAS PARA CONCURSOS DE ADQUISICIONES, ARRENDAMIENTOS, OBRAS Y SERVICIOS DEL SECTOR PUBLICO</w:t>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szCs w:val="18"/>
          <w:lang w:val="es-MX"/>
        </w:rPr>
      </w:pPr>
      <w:r w:rsidRPr="004B291D">
        <w:rPr>
          <w:szCs w:val="18"/>
          <w:lang w:val="es-MX"/>
        </w:rPr>
        <w:t xml:space="preserve">Licitaciones Públicas Nacionales e Internacionales. </w:t>
      </w:r>
      <w:r w:rsidR="00986293">
        <w:rPr>
          <w:szCs w:val="18"/>
          <w:lang w:val="es-MX"/>
        </w:rPr>
        <w:tab/>
      </w:r>
    </w:p>
    <w:p w:rsidR="00D521D2" w:rsidRPr="004B291D" w:rsidRDefault="00D521D2" w:rsidP="004B291D">
      <w:pPr>
        <w:pStyle w:val="sum"/>
        <w:spacing w:line="326" w:lineRule="exact"/>
        <w:ind w:right="620"/>
        <w:rPr>
          <w:szCs w:val="18"/>
          <w:lang w:val="es-MX"/>
        </w:rPr>
      </w:pPr>
    </w:p>
    <w:p w:rsidR="00D521D2" w:rsidRPr="004B291D" w:rsidRDefault="00D521D2" w:rsidP="004B291D">
      <w:pPr>
        <w:pStyle w:val="sum"/>
        <w:spacing w:line="326" w:lineRule="exact"/>
        <w:ind w:right="620"/>
        <w:rPr>
          <w:rFonts w:ascii="Times New Roman" w:hAnsi="Times New Roman" w:cs="Times New Roman"/>
          <w:b/>
          <w:sz w:val="20"/>
          <w:u w:val="single"/>
          <w:lang w:val="es-MX"/>
        </w:rPr>
      </w:pPr>
      <w:r w:rsidRPr="004B291D">
        <w:rPr>
          <w:rFonts w:ascii="Times New Roman" w:hAnsi="Times New Roman" w:cs="Times New Roman"/>
          <w:b/>
          <w:sz w:val="20"/>
          <w:u w:val="single"/>
          <w:lang w:val="es-MX"/>
        </w:rPr>
        <w:t>AVISOS</w:t>
      </w:r>
    </w:p>
    <w:p w:rsidR="002770DF" w:rsidRPr="004B291D" w:rsidRDefault="00D521D2" w:rsidP="004B291D">
      <w:pPr>
        <w:pStyle w:val="sum"/>
        <w:spacing w:line="326" w:lineRule="exact"/>
        <w:ind w:right="620"/>
        <w:rPr>
          <w:szCs w:val="18"/>
          <w:lang w:val="es-MX"/>
        </w:rPr>
      </w:pPr>
      <w:r w:rsidRPr="004B291D">
        <w:rPr>
          <w:szCs w:val="18"/>
          <w:lang w:val="es-MX"/>
        </w:rPr>
        <w:t xml:space="preserve">Judiciales y generales. </w:t>
      </w:r>
      <w:r w:rsidR="00986293">
        <w:rPr>
          <w:szCs w:val="18"/>
          <w:lang w:val="es-MX"/>
        </w:rPr>
        <w:tab/>
      </w:r>
    </w:p>
    <w:sectPr w:rsidR="002770DF" w:rsidRPr="004B291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03" w:rsidRDefault="00E16C03" w:rsidP="00D521D2">
      <w:pPr>
        <w:spacing w:after="0" w:line="240" w:lineRule="auto"/>
      </w:pPr>
      <w:r>
        <w:separator/>
      </w:r>
    </w:p>
  </w:endnote>
  <w:endnote w:type="continuationSeparator" w:id="0">
    <w:p w:rsidR="00E16C03" w:rsidRDefault="00E16C03" w:rsidP="00D5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03" w:rsidRDefault="00E16C03" w:rsidP="00D521D2">
      <w:pPr>
        <w:spacing w:after="0" w:line="240" w:lineRule="auto"/>
      </w:pPr>
      <w:r>
        <w:separator/>
      </w:r>
    </w:p>
  </w:footnote>
  <w:footnote w:type="continuationSeparator" w:id="0">
    <w:p w:rsidR="00E16C03" w:rsidRDefault="00E16C03" w:rsidP="00D52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D2" w:rsidRPr="00D521D2" w:rsidRDefault="00D521D2" w:rsidP="00D521D2">
    <w:pPr>
      <w:pStyle w:val="Fechas"/>
      <w:rPr>
        <w:rFonts w:cs="Times New Roman"/>
      </w:rPr>
    </w:pPr>
    <w:r>
      <w:t>Jueves 27 de febrero de 2020</w:t>
    </w:r>
    <w:r w:rsidRPr="00ED705D">
      <w:rPr>
        <w:rFonts w:cs="Times New Roman"/>
      </w:rPr>
      <w:tab/>
      <w:t>DIARIO OFICIAL</w:t>
    </w:r>
    <w:r w:rsidRPr="00ED705D">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D2"/>
    <w:rsid w:val="002770DF"/>
    <w:rsid w:val="004B291D"/>
    <w:rsid w:val="006C3A36"/>
    <w:rsid w:val="00986293"/>
    <w:rsid w:val="00D521D2"/>
    <w:rsid w:val="00E16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5093"/>
  <w15:chartTrackingRefBased/>
  <w15:docId w15:val="{4EBC35CF-FCCC-4215-AD2D-5BC3F3BE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2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21D2"/>
  </w:style>
  <w:style w:type="paragraph" w:styleId="Piedepgina">
    <w:name w:val="footer"/>
    <w:basedOn w:val="Normal"/>
    <w:link w:val="PiedepginaCar"/>
    <w:uiPriority w:val="99"/>
    <w:unhideWhenUsed/>
    <w:rsid w:val="00D52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21D2"/>
  </w:style>
  <w:style w:type="paragraph" w:customStyle="1" w:styleId="Fechas">
    <w:name w:val="Fechas"/>
    <w:basedOn w:val="Normal"/>
    <w:rsid w:val="00D521D2"/>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 w:type="paragraph" w:customStyle="1" w:styleId="sum">
    <w:name w:val="sum"/>
    <w:basedOn w:val="Normal"/>
    <w:link w:val="sumCar"/>
    <w:rsid w:val="004B291D"/>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4B291D"/>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9862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6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3</cp:revision>
  <cp:lastPrinted>2020-02-27T16:23:00Z</cp:lastPrinted>
  <dcterms:created xsi:type="dcterms:W3CDTF">2020-02-27T16:08:00Z</dcterms:created>
  <dcterms:modified xsi:type="dcterms:W3CDTF">2020-02-27T16:24:00Z</dcterms:modified>
</cp:coreProperties>
</file>