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517" w:rsidRPr="00D1234A" w:rsidRDefault="00926517" w:rsidP="00D1234A">
      <w:pPr>
        <w:spacing w:after="0" w:line="326" w:lineRule="exact"/>
        <w:ind w:right="620"/>
        <w:jc w:val="center"/>
        <w:outlineLvl w:val="0"/>
        <w:rPr>
          <w:rFonts w:ascii="Times New Roman" w:eastAsia="Times New Roman" w:hAnsi="Times New Roman" w:cs="Times New Roman"/>
          <w:b/>
          <w:bCs/>
          <w:sz w:val="20"/>
          <w:szCs w:val="20"/>
          <w:lang w:eastAsia="es-MX"/>
        </w:rPr>
      </w:pPr>
      <w:r w:rsidRPr="00D1234A">
        <w:rPr>
          <w:rFonts w:ascii="Times New Roman" w:eastAsia="Times New Roman" w:hAnsi="Times New Roman" w:cs="Times New Roman"/>
          <w:b/>
          <w:bCs/>
          <w:sz w:val="20"/>
          <w:szCs w:val="20"/>
          <w:lang w:eastAsia="es-MX"/>
        </w:rPr>
        <w:t xml:space="preserve">INDICE </w:t>
      </w:r>
    </w:p>
    <w:p w:rsidR="00926517" w:rsidRPr="00D1234A" w:rsidRDefault="00926517" w:rsidP="00D1234A">
      <w:pPr>
        <w:spacing w:after="0" w:line="326" w:lineRule="exact"/>
        <w:ind w:right="620"/>
        <w:jc w:val="center"/>
        <w:outlineLvl w:val="0"/>
        <w:rPr>
          <w:rFonts w:ascii="Times New Roman" w:eastAsia="Times New Roman" w:hAnsi="Times New Roman" w:cs="Times New Roman"/>
          <w:b/>
          <w:bCs/>
          <w:sz w:val="20"/>
          <w:szCs w:val="20"/>
          <w:lang w:eastAsia="es-MX"/>
        </w:rPr>
      </w:pPr>
      <w:r w:rsidRPr="00D1234A">
        <w:rPr>
          <w:rFonts w:ascii="Times New Roman" w:eastAsia="Times New Roman" w:hAnsi="Times New Roman" w:cs="Times New Roman"/>
          <w:b/>
          <w:bCs/>
          <w:sz w:val="20"/>
          <w:szCs w:val="20"/>
          <w:lang w:eastAsia="es-MX"/>
        </w:rPr>
        <w:t>PODER EJECUTIVO</w:t>
      </w:r>
    </w:p>
    <w:p w:rsidR="00926517" w:rsidRDefault="00926517" w:rsidP="00D1234A">
      <w:pPr>
        <w:pStyle w:val="sum"/>
        <w:spacing w:line="326" w:lineRule="exact"/>
        <w:ind w:right="620"/>
      </w:pPr>
    </w:p>
    <w:p w:rsidR="00926517" w:rsidRPr="00D1234A" w:rsidRDefault="00926517" w:rsidP="00D1234A">
      <w:pPr>
        <w:pStyle w:val="sum"/>
        <w:spacing w:line="326" w:lineRule="exact"/>
        <w:ind w:right="620"/>
        <w:rPr>
          <w:rFonts w:ascii="Times New Roman" w:hAnsi="Times New Roman" w:cs="Times New Roman"/>
          <w:b/>
          <w:sz w:val="20"/>
          <w:u w:val="single"/>
          <w:lang w:val="es-MX"/>
        </w:rPr>
      </w:pPr>
      <w:r w:rsidRPr="00D1234A">
        <w:rPr>
          <w:rFonts w:ascii="Times New Roman" w:hAnsi="Times New Roman" w:cs="Times New Roman"/>
          <w:b/>
          <w:sz w:val="20"/>
          <w:u w:val="single"/>
          <w:lang w:val="es-MX"/>
        </w:rPr>
        <w:t>SECRETARIA DE SEGURIDAD Y PROTECCION CIUDADANA</w:t>
      </w:r>
    </w:p>
    <w:p w:rsidR="00926517" w:rsidRPr="00D1234A" w:rsidRDefault="00926517" w:rsidP="00D1234A">
      <w:pPr>
        <w:pStyle w:val="sum"/>
        <w:spacing w:line="326" w:lineRule="exact"/>
        <w:ind w:right="620"/>
        <w:rPr>
          <w:szCs w:val="18"/>
          <w:lang w:val="es-MX"/>
        </w:rPr>
      </w:pPr>
    </w:p>
    <w:p w:rsidR="00926517" w:rsidRPr="00D1234A" w:rsidRDefault="00926517" w:rsidP="00D1234A">
      <w:pPr>
        <w:pStyle w:val="sum"/>
        <w:spacing w:line="326" w:lineRule="exact"/>
        <w:ind w:right="620"/>
        <w:rPr>
          <w:szCs w:val="18"/>
          <w:lang w:val="es-MX"/>
        </w:rPr>
      </w:pPr>
      <w:r w:rsidRPr="00D1234A">
        <w:rPr>
          <w:szCs w:val="18"/>
          <w:lang w:val="es-MX"/>
        </w:rPr>
        <w:t>Acuerdo por el que se dan a conocer los Lineamientos para otorgar un apoyo económico por única vez a las y los integrantes de la Guardia Nacional que se les determine incapacidad por lesiones y a sus dependientes económicos, así como a los de la o el integrante que haya perdido</w:t>
      </w:r>
      <w:r w:rsidR="00D1234A">
        <w:rPr>
          <w:szCs w:val="18"/>
          <w:lang w:val="es-MX"/>
        </w:rPr>
        <w:t xml:space="preserve"> </w:t>
      </w:r>
      <w:r w:rsidRPr="00D1234A">
        <w:rPr>
          <w:szCs w:val="18"/>
          <w:lang w:val="es-MX"/>
        </w:rPr>
        <w:t xml:space="preserve">la vida, en tareas de vigilancia, custodia, investigación y de operación policial. </w:t>
      </w:r>
      <w:r w:rsidR="00B54978">
        <w:rPr>
          <w:szCs w:val="18"/>
          <w:lang w:val="es-MX"/>
        </w:rPr>
        <w:tab/>
      </w:r>
    </w:p>
    <w:p w:rsidR="00926517" w:rsidRPr="00D1234A" w:rsidRDefault="00926517" w:rsidP="00D1234A">
      <w:pPr>
        <w:pStyle w:val="sum"/>
        <w:spacing w:line="326" w:lineRule="exact"/>
        <w:ind w:right="620"/>
        <w:rPr>
          <w:szCs w:val="18"/>
          <w:lang w:val="es-MX"/>
        </w:rPr>
      </w:pPr>
    </w:p>
    <w:p w:rsidR="00926517" w:rsidRPr="00D1234A" w:rsidRDefault="00926517" w:rsidP="00D1234A">
      <w:pPr>
        <w:pStyle w:val="sum"/>
        <w:spacing w:line="326" w:lineRule="exact"/>
        <w:ind w:right="620"/>
        <w:rPr>
          <w:rFonts w:ascii="Times New Roman" w:hAnsi="Times New Roman" w:cs="Times New Roman"/>
          <w:b/>
          <w:sz w:val="20"/>
          <w:u w:val="single"/>
          <w:lang w:val="es-MX"/>
        </w:rPr>
      </w:pPr>
      <w:r w:rsidRPr="00D1234A">
        <w:rPr>
          <w:rFonts w:ascii="Times New Roman" w:hAnsi="Times New Roman" w:cs="Times New Roman"/>
          <w:b/>
          <w:sz w:val="20"/>
          <w:u w:val="single"/>
          <w:lang w:val="es-MX"/>
        </w:rPr>
        <w:t>SECRETARIA DE HACIENDA Y CREDITO PUBLICO</w:t>
      </w:r>
    </w:p>
    <w:p w:rsidR="00926517" w:rsidRPr="00D1234A" w:rsidRDefault="00926517" w:rsidP="00D1234A">
      <w:pPr>
        <w:pStyle w:val="sum"/>
        <w:spacing w:line="326" w:lineRule="exact"/>
        <w:ind w:right="620"/>
        <w:rPr>
          <w:szCs w:val="18"/>
          <w:lang w:val="es-MX"/>
        </w:rPr>
      </w:pPr>
    </w:p>
    <w:p w:rsidR="00926517" w:rsidRPr="00D1234A" w:rsidRDefault="00926517" w:rsidP="00D1234A">
      <w:pPr>
        <w:pStyle w:val="sum"/>
        <w:spacing w:line="326" w:lineRule="exact"/>
        <w:ind w:right="620"/>
        <w:rPr>
          <w:szCs w:val="18"/>
          <w:lang w:val="es-MX"/>
        </w:rPr>
      </w:pPr>
      <w:r w:rsidRPr="00D1234A">
        <w:rPr>
          <w:szCs w:val="18"/>
          <w:lang w:val="es-MX"/>
        </w:rPr>
        <w:t xml:space="preserve">Acuerdo por el que se desincorpora del régimen de dominio público de la Federación y se </w:t>
      </w:r>
      <w:proofErr w:type="gramStart"/>
      <w:r w:rsidRPr="00D1234A">
        <w:rPr>
          <w:szCs w:val="18"/>
          <w:lang w:val="es-MX"/>
        </w:rPr>
        <w:t>autoriza  su</w:t>
      </w:r>
      <w:proofErr w:type="gramEnd"/>
      <w:r w:rsidRPr="00D1234A">
        <w:rPr>
          <w:szCs w:val="18"/>
          <w:lang w:val="es-MX"/>
        </w:rPr>
        <w:t xml:space="preserve">  aportación  a  título  gratuito  al  patrimonio  de  la  Comisión  Nacional  Forestal (CONAFOR), una fracción de terreno con superficie de 2,686.75 metros cuadrados, que forma parte  del  inmueble  denominado  Vivero  Forestal  San  José  Viejo,  ubicado  en  el  lote  01, Manzana 12, Zona 06, en el Poblado San José del Cabo, Municipio de Los Cabos, Estado de</w:t>
      </w:r>
      <w:r w:rsidR="00D1234A">
        <w:rPr>
          <w:szCs w:val="18"/>
          <w:lang w:val="es-MX"/>
        </w:rPr>
        <w:t xml:space="preserve"> </w:t>
      </w:r>
      <w:r w:rsidRPr="00D1234A">
        <w:rPr>
          <w:szCs w:val="18"/>
          <w:lang w:val="es-MX"/>
        </w:rPr>
        <w:t xml:space="preserve">Baja California Sur. </w:t>
      </w:r>
      <w:r w:rsidR="00B54978">
        <w:rPr>
          <w:szCs w:val="18"/>
          <w:lang w:val="es-MX"/>
        </w:rPr>
        <w:tab/>
      </w:r>
    </w:p>
    <w:p w:rsidR="00926517" w:rsidRPr="00D1234A" w:rsidRDefault="00926517" w:rsidP="00D1234A">
      <w:pPr>
        <w:pStyle w:val="sum"/>
        <w:spacing w:line="326" w:lineRule="exact"/>
        <w:ind w:right="620"/>
        <w:rPr>
          <w:szCs w:val="18"/>
          <w:lang w:val="es-MX"/>
        </w:rPr>
      </w:pPr>
    </w:p>
    <w:p w:rsidR="00926517" w:rsidRPr="00D1234A" w:rsidRDefault="00926517" w:rsidP="00D1234A">
      <w:pPr>
        <w:pStyle w:val="sum"/>
        <w:spacing w:line="326" w:lineRule="exact"/>
        <w:ind w:right="620"/>
        <w:rPr>
          <w:szCs w:val="18"/>
          <w:lang w:val="es-MX"/>
        </w:rPr>
      </w:pPr>
      <w:proofErr w:type="gramStart"/>
      <w:r w:rsidRPr="00D1234A">
        <w:rPr>
          <w:szCs w:val="18"/>
          <w:lang w:val="es-MX"/>
        </w:rPr>
        <w:t>Acuerdo  por</w:t>
      </w:r>
      <w:proofErr w:type="gramEnd"/>
      <w:r w:rsidRPr="00D1234A">
        <w:rPr>
          <w:szCs w:val="18"/>
          <w:lang w:val="es-MX"/>
        </w:rPr>
        <w:t xml:space="preserve">  el  que  se  destina  a  favor  de  la  Secretaría  de  Marina,  el  inmueble  federal denominado Escuela de Maquinarias Emilio Barragán, con superficie de 495,457.266 metros cuadrados, que forma parte de un inmueble de mayor extensión ubicado en Calle Boulevard de las  Islas  número  398,  Interior  Isla  del  </w:t>
      </w:r>
      <w:proofErr w:type="spellStart"/>
      <w:r w:rsidRPr="00D1234A">
        <w:rPr>
          <w:szCs w:val="18"/>
          <w:lang w:val="es-MX"/>
        </w:rPr>
        <w:t>Cayacal</w:t>
      </w:r>
      <w:proofErr w:type="spellEnd"/>
      <w:r w:rsidRPr="00D1234A">
        <w:rPr>
          <w:szCs w:val="18"/>
          <w:lang w:val="es-MX"/>
        </w:rPr>
        <w:t>,  Ciudad  de  Lázaro  Cárdenas,  Estado</w:t>
      </w:r>
      <w:r w:rsidR="00D1234A">
        <w:rPr>
          <w:szCs w:val="18"/>
          <w:lang w:val="es-MX"/>
        </w:rPr>
        <w:t xml:space="preserve"> </w:t>
      </w:r>
      <w:r w:rsidRPr="00D1234A">
        <w:rPr>
          <w:szCs w:val="18"/>
          <w:lang w:val="es-MX"/>
        </w:rPr>
        <w:t xml:space="preserve">de Michoacán. </w:t>
      </w:r>
    </w:p>
    <w:p w:rsidR="00926517" w:rsidRPr="00D1234A" w:rsidRDefault="00926517" w:rsidP="00D1234A">
      <w:pPr>
        <w:pStyle w:val="sum"/>
        <w:spacing w:line="326" w:lineRule="exact"/>
        <w:ind w:right="620"/>
        <w:rPr>
          <w:szCs w:val="18"/>
          <w:lang w:val="es-MX"/>
        </w:rPr>
      </w:pPr>
    </w:p>
    <w:p w:rsidR="00926517" w:rsidRPr="00D1234A" w:rsidRDefault="00926517" w:rsidP="00D1234A">
      <w:pPr>
        <w:pStyle w:val="sum"/>
        <w:spacing w:line="326" w:lineRule="exact"/>
        <w:ind w:right="620"/>
        <w:rPr>
          <w:szCs w:val="18"/>
          <w:lang w:val="es-MX"/>
        </w:rPr>
      </w:pPr>
      <w:r w:rsidRPr="00D1234A">
        <w:rPr>
          <w:szCs w:val="18"/>
          <w:lang w:val="es-MX"/>
        </w:rPr>
        <w:t>Notificación mediante la cual se da a conocer el inicio del procedimiento administrativo para emitir la Declaratoria de Sujeción al Régimen de Dominio Público de la Federación, respecto de los inmuebles Federales que se señalan, por encontrarse en el supuesto de lo establecido en el artículo 29 fracción IV en relación con el artículo 6 fracción VI, ambos de la Ley General de</w:t>
      </w:r>
      <w:r w:rsidR="00D1234A">
        <w:rPr>
          <w:szCs w:val="18"/>
          <w:lang w:val="es-MX"/>
        </w:rPr>
        <w:t xml:space="preserve"> </w:t>
      </w:r>
      <w:r w:rsidRPr="00D1234A">
        <w:rPr>
          <w:szCs w:val="18"/>
          <w:lang w:val="es-MX"/>
        </w:rPr>
        <w:t xml:space="preserve">Bienes Nacionales. </w:t>
      </w:r>
      <w:r w:rsidR="00B54978">
        <w:rPr>
          <w:szCs w:val="18"/>
          <w:lang w:val="es-MX"/>
        </w:rPr>
        <w:tab/>
      </w:r>
    </w:p>
    <w:p w:rsidR="00926517" w:rsidRPr="00D1234A" w:rsidRDefault="00926517" w:rsidP="00D1234A">
      <w:pPr>
        <w:pStyle w:val="sum"/>
        <w:spacing w:line="326" w:lineRule="exact"/>
        <w:ind w:right="620"/>
        <w:rPr>
          <w:szCs w:val="18"/>
          <w:lang w:val="es-MX"/>
        </w:rPr>
      </w:pPr>
    </w:p>
    <w:p w:rsidR="00926517" w:rsidRPr="00D1234A" w:rsidRDefault="00926517" w:rsidP="00D1234A">
      <w:pPr>
        <w:pStyle w:val="sum"/>
        <w:spacing w:line="326" w:lineRule="exact"/>
        <w:ind w:right="620"/>
        <w:rPr>
          <w:rFonts w:ascii="Times New Roman" w:hAnsi="Times New Roman" w:cs="Times New Roman"/>
          <w:b/>
          <w:sz w:val="20"/>
          <w:u w:val="single"/>
          <w:lang w:val="es-MX"/>
        </w:rPr>
      </w:pPr>
      <w:r w:rsidRPr="00D1234A">
        <w:rPr>
          <w:rFonts w:ascii="Times New Roman" w:hAnsi="Times New Roman" w:cs="Times New Roman"/>
          <w:b/>
          <w:sz w:val="20"/>
          <w:u w:val="single"/>
          <w:lang w:val="es-MX"/>
        </w:rPr>
        <w:t>COMISION REGULADORA DE ENERGIA</w:t>
      </w:r>
    </w:p>
    <w:p w:rsidR="00926517" w:rsidRPr="00D1234A" w:rsidRDefault="00926517" w:rsidP="00D1234A">
      <w:pPr>
        <w:pStyle w:val="sum"/>
        <w:spacing w:line="326" w:lineRule="exact"/>
        <w:ind w:right="620"/>
        <w:rPr>
          <w:szCs w:val="18"/>
          <w:lang w:val="es-MX"/>
        </w:rPr>
      </w:pPr>
    </w:p>
    <w:p w:rsidR="00D1234A" w:rsidRDefault="00926517" w:rsidP="00D1234A">
      <w:pPr>
        <w:pStyle w:val="sum"/>
        <w:spacing w:line="326" w:lineRule="exact"/>
        <w:ind w:right="620"/>
        <w:rPr>
          <w:szCs w:val="18"/>
          <w:lang w:val="es-MX"/>
        </w:rPr>
      </w:pPr>
      <w:r w:rsidRPr="00D1234A">
        <w:rPr>
          <w:szCs w:val="18"/>
          <w:lang w:val="es-MX"/>
        </w:rPr>
        <w:t>Acuerdo por el que la Comisión Reguladora de Energía ordena la publicación del Proyecto de Norma   Oficial Mexicana PROY-NOM-018-CRE-2019, Instalaciones de energía eléctrica-Conexión,</w:t>
      </w:r>
      <w:r w:rsidR="00D1234A">
        <w:rPr>
          <w:szCs w:val="18"/>
          <w:lang w:val="es-MX"/>
        </w:rPr>
        <w:t xml:space="preserve"> </w:t>
      </w:r>
      <w:r w:rsidRPr="00D1234A">
        <w:rPr>
          <w:szCs w:val="18"/>
          <w:lang w:val="es-MX"/>
        </w:rPr>
        <w:t>interconexión,</w:t>
      </w:r>
      <w:r w:rsidR="00D1234A">
        <w:rPr>
          <w:szCs w:val="18"/>
          <w:lang w:val="es-MX"/>
        </w:rPr>
        <w:t xml:space="preserve"> </w:t>
      </w:r>
      <w:r w:rsidRPr="00D1234A">
        <w:rPr>
          <w:szCs w:val="18"/>
          <w:lang w:val="es-MX"/>
        </w:rPr>
        <w:t>transmisión</w:t>
      </w:r>
      <w:r w:rsidR="00D1234A">
        <w:rPr>
          <w:szCs w:val="18"/>
          <w:lang w:val="es-MX"/>
        </w:rPr>
        <w:t xml:space="preserve"> </w:t>
      </w:r>
      <w:r w:rsidRPr="00D1234A">
        <w:rPr>
          <w:szCs w:val="18"/>
          <w:lang w:val="es-MX"/>
        </w:rPr>
        <w:t>y</w:t>
      </w:r>
      <w:r w:rsidR="00D1234A">
        <w:rPr>
          <w:szCs w:val="18"/>
          <w:lang w:val="es-MX"/>
        </w:rPr>
        <w:t xml:space="preserve"> </w:t>
      </w:r>
      <w:r w:rsidRPr="00D1234A">
        <w:rPr>
          <w:szCs w:val="18"/>
          <w:lang w:val="es-MX"/>
        </w:rPr>
        <w:t>distribución-Especificaciones</w:t>
      </w:r>
      <w:r w:rsidR="00D1234A">
        <w:rPr>
          <w:szCs w:val="18"/>
          <w:lang w:val="es-MX"/>
        </w:rPr>
        <w:t xml:space="preserve"> </w:t>
      </w:r>
      <w:r w:rsidRPr="00D1234A">
        <w:rPr>
          <w:szCs w:val="18"/>
          <w:lang w:val="es-MX"/>
        </w:rPr>
        <w:t>de</w:t>
      </w:r>
      <w:r w:rsidR="00D1234A">
        <w:rPr>
          <w:szCs w:val="18"/>
          <w:lang w:val="es-MX"/>
        </w:rPr>
        <w:t xml:space="preserve"> </w:t>
      </w:r>
      <w:r w:rsidRPr="00D1234A">
        <w:rPr>
          <w:szCs w:val="18"/>
          <w:lang w:val="es-MX"/>
        </w:rPr>
        <w:t>seguridad</w:t>
      </w:r>
      <w:r w:rsidRPr="00D1234A">
        <w:rPr>
          <w:szCs w:val="18"/>
          <w:lang w:val="es-MX"/>
        </w:rPr>
        <w:tab/>
        <w:t>y procedimiento para l</w:t>
      </w:r>
      <w:r w:rsidR="00D1234A">
        <w:rPr>
          <w:szCs w:val="18"/>
          <w:lang w:val="es-MX"/>
        </w:rPr>
        <w:t>a evaluación de la conformidad.</w:t>
      </w:r>
      <w:r w:rsidR="00B54978">
        <w:rPr>
          <w:szCs w:val="18"/>
          <w:lang w:val="es-MX"/>
        </w:rPr>
        <w:tab/>
      </w:r>
    </w:p>
    <w:p w:rsidR="00926517" w:rsidRPr="00D1234A" w:rsidRDefault="00926517" w:rsidP="00D1234A">
      <w:pPr>
        <w:pStyle w:val="sum"/>
        <w:spacing w:line="326" w:lineRule="exact"/>
        <w:ind w:right="620"/>
        <w:rPr>
          <w:szCs w:val="18"/>
          <w:lang w:val="es-MX"/>
        </w:rPr>
      </w:pPr>
    </w:p>
    <w:p w:rsidR="00926517" w:rsidRPr="00D1234A" w:rsidRDefault="00926517" w:rsidP="00D1234A">
      <w:pPr>
        <w:pStyle w:val="sum"/>
        <w:spacing w:line="326" w:lineRule="exact"/>
        <w:ind w:right="620"/>
        <w:rPr>
          <w:rFonts w:ascii="Times New Roman" w:hAnsi="Times New Roman" w:cs="Times New Roman"/>
          <w:b/>
          <w:sz w:val="20"/>
          <w:u w:val="single"/>
          <w:lang w:val="es-MX"/>
        </w:rPr>
      </w:pPr>
      <w:r w:rsidRPr="00D1234A">
        <w:rPr>
          <w:rFonts w:ascii="Times New Roman" w:hAnsi="Times New Roman" w:cs="Times New Roman"/>
          <w:b/>
          <w:sz w:val="20"/>
          <w:u w:val="single"/>
          <w:lang w:val="es-MX"/>
        </w:rPr>
        <w:t>CAMINOS Y PUENTES FEDERALES DE INGRESOS Y SERVICIOS CONEXOS</w:t>
      </w:r>
    </w:p>
    <w:p w:rsidR="00926517" w:rsidRPr="00D1234A" w:rsidRDefault="00926517" w:rsidP="00D1234A">
      <w:pPr>
        <w:pStyle w:val="sum"/>
        <w:spacing w:line="326" w:lineRule="exact"/>
        <w:ind w:right="620"/>
        <w:rPr>
          <w:szCs w:val="18"/>
          <w:lang w:val="es-MX"/>
        </w:rPr>
      </w:pPr>
    </w:p>
    <w:p w:rsidR="00926517" w:rsidRPr="00D1234A" w:rsidRDefault="00926517" w:rsidP="00D1234A">
      <w:pPr>
        <w:pStyle w:val="sum"/>
        <w:spacing w:line="326" w:lineRule="exact"/>
        <w:ind w:right="620"/>
        <w:rPr>
          <w:szCs w:val="18"/>
          <w:lang w:val="es-MX"/>
        </w:rPr>
      </w:pPr>
    </w:p>
    <w:p w:rsidR="00926517" w:rsidRPr="00D1234A" w:rsidRDefault="00926517" w:rsidP="00D1234A">
      <w:pPr>
        <w:pStyle w:val="sum"/>
        <w:spacing w:line="326" w:lineRule="exact"/>
        <w:ind w:right="620"/>
        <w:rPr>
          <w:szCs w:val="18"/>
          <w:lang w:val="es-MX"/>
        </w:rPr>
      </w:pPr>
      <w:r w:rsidRPr="00D1234A">
        <w:rPr>
          <w:szCs w:val="18"/>
          <w:lang w:val="es-MX"/>
        </w:rPr>
        <w:t xml:space="preserve">Normativa vigente para Caminos y Puentes Federales de Ingresos y Servicios Conexos. </w:t>
      </w:r>
      <w:r w:rsidR="00B54978">
        <w:rPr>
          <w:szCs w:val="18"/>
          <w:lang w:val="es-MX"/>
        </w:rPr>
        <w:tab/>
      </w:r>
    </w:p>
    <w:p w:rsidR="00926517" w:rsidRPr="00D1234A" w:rsidRDefault="00926517" w:rsidP="00D1234A">
      <w:pPr>
        <w:pStyle w:val="sum"/>
        <w:spacing w:line="326" w:lineRule="exact"/>
        <w:ind w:right="620"/>
        <w:rPr>
          <w:szCs w:val="18"/>
          <w:lang w:val="es-MX"/>
        </w:rPr>
      </w:pPr>
    </w:p>
    <w:p w:rsidR="00926517" w:rsidRPr="00D1234A" w:rsidRDefault="00926517" w:rsidP="00D1234A">
      <w:pPr>
        <w:pStyle w:val="sum"/>
        <w:spacing w:line="326" w:lineRule="exact"/>
        <w:ind w:right="620"/>
        <w:rPr>
          <w:rFonts w:ascii="Times New Roman" w:hAnsi="Times New Roman" w:cs="Times New Roman"/>
          <w:b/>
          <w:sz w:val="20"/>
          <w:u w:val="single"/>
          <w:lang w:val="es-MX"/>
        </w:rPr>
      </w:pPr>
      <w:r w:rsidRPr="00D1234A">
        <w:rPr>
          <w:rFonts w:ascii="Times New Roman" w:hAnsi="Times New Roman" w:cs="Times New Roman"/>
          <w:b/>
          <w:sz w:val="20"/>
          <w:u w:val="single"/>
          <w:lang w:val="es-MX"/>
        </w:rPr>
        <w:t>CORREDOR INTEROCEANICO DEL ISTMO DE TEHUANTEPEC</w:t>
      </w:r>
    </w:p>
    <w:p w:rsidR="00926517" w:rsidRPr="00D1234A" w:rsidRDefault="00926517" w:rsidP="00D1234A">
      <w:pPr>
        <w:pStyle w:val="sum"/>
        <w:spacing w:line="326" w:lineRule="exact"/>
        <w:ind w:right="620"/>
        <w:rPr>
          <w:szCs w:val="18"/>
          <w:lang w:val="es-MX"/>
        </w:rPr>
      </w:pPr>
    </w:p>
    <w:p w:rsidR="00926517" w:rsidRDefault="00926517" w:rsidP="00D1234A">
      <w:pPr>
        <w:pStyle w:val="sum"/>
        <w:spacing w:line="326" w:lineRule="exact"/>
        <w:ind w:right="620"/>
        <w:rPr>
          <w:szCs w:val="18"/>
          <w:lang w:val="es-MX"/>
        </w:rPr>
      </w:pPr>
      <w:r w:rsidRPr="00D1234A">
        <w:rPr>
          <w:szCs w:val="18"/>
          <w:lang w:val="es-MX"/>
        </w:rPr>
        <w:t xml:space="preserve">Estatuto Orgánico del Corredor Interoceánico del Istmo de Tehuantepec. </w:t>
      </w:r>
      <w:r w:rsidR="00B54978">
        <w:rPr>
          <w:szCs w:val="18"/>
          <w:lang w:val="es-MX"/>
        </w:rPr>
        <w:tab/>
      </w:r>
    </w:p>
    <w:p w:rsidR="00B54978" w:rsidRPr="00D1234A" w:rsidRDefault="00B54978" w:rsidP="00D1234A">
      <w:pPr>
        <w:pStyle w:val="sum"/>
        <w:spacing w:line="326" w:lineRule="exact"/>
        <w:ind w:right="620"/>
        <w:rPr>
          <w:szCs w:val="18"/>
          <w:lang w:val="es-MX"/>
        </w:rPr>
      </w:pPr>
    </w:p>
    <w:p w:rsidR="00D1234A" w:rsidRPr="00B54978" w:rsidRDefault="00926517" w:rsidP="00B54978">
      <w:pPr>
        <w:spacing w:after="0" w:line="326" w:lineRule="exact"/>
        <w:ind w:right="620"/>
        <w:jc w:val="center"/>
        <w:outlineLvl w:val="0"/>
        <w:rPr>
          <w:rFonts w:ascii="Times New Roman" w:eastAsia="Times New Roman" w:hAnsi="Times New Roman" w:cs="Times New Roman"/>
          <w:b/>
          <w:bCs/>
          <w:sz w:val="20"/>
          <w:szCs w:val="20"/>
          <w:lang w:eastAsia="es-MX"/>
        </w:rPr>
      </w:pPr>
      <w:r w:rsidRPr="00B54978">
        <w:rPr>
          <w:rFonts w:ascii="Times New Roman" w:eastAsia="Times New Roman" w:hAnsi="Times New Roman" w:cs="Times New Roman"/>
          <w:b/>
          <w:bCs/>
          <w:sz w:val="20"/>
          <w:szCs w:val="20"/>
          <w:lang w:eastAsia="es-MX"/>
        </w:rPr>
        <w:t>PODER JUDICIAL</w:t>
      </w:r>
    </w:p>
    <w:p w:rsidR="00D1234A" w:rsidRPr="00D1234A" w:rsidRDefault="00D1234A" w:rsidP="00D1234A">
      <w:pPr>
        <w:pStyle w:val="sum"/>
        <w:spacing w:line="326" w:lineRule="exact"/>
        <w:ind w:right="620"/>
        <w:rPr>
          <w:szCs w:val="18"/>
          <w:lang w:val="es-MX"/>
        </w:rPr>
      </w:pPr>
    </w:p>
    <w:p w:rsidR="00926517" w:rsidRPr="00B54978" w:rsidRDefault="00926517" w:rsidP="00B54978">
      <w:pPr>
        <w:pStyle w:val="sum"/>
        <w:spacing w:line="326" w:lineRule="exact"/>
        <w:ind w:right="620"/>
        <w:rPr>
          <w:rFonts w:ascii="Times New Roman" w:hAnsi="Times New Roman" w:cs="Times New Roman"/>
          <w:b/>
          <w:sz w:val="20"/>
          <w:u w:val="single"/>
          <w:lang w:val="es-MX"/>
        </w:rPr>
      </w:pPr>
      <w:r w:rsidRPr="00B54978">
        <w:rPr>
          <w:rFonts w:ascii="Times New Roman" w:hAnsi="Times New Roman" w:cs="Times New Roman"/>
          <w:b/>
          <w:sz w:val="20"/>
          <w:u w:val="single"/>
          <w:lang w:val="es-MX"/>
        </w:rPr>
        <w:t>SUPREMA CORTE DE JUSTICIA DE LA NACION</w:t>
      </w:r>
    </w:p>
    <w:p w:rsidR="00926517" w:rsidRPr="00D1234A" w:rsidRDefault="00926517" w:rsidP="00D1234A">
      <w:pPr>
        <w:pStyle w:val="sum"/>
        <w:spacing w:line="326" w:lineRule="exact"/>
        <w:ind w:right="620"/>
        <w:rPr>
          <w:szCs w:val="18"/>
          <w:lang w:val="es-MX"/>
        </w:rPr>
      </w:pPr>
    </w:p>
    <w:p w:rsidR="00926517" w:rsidRPr="00D1234A" w:rsidRDefault="00926517" w:rsidP="00D1234A">
      <w:pPr>
        <w:pStyle w:val="sum"/>
        <w:spacing w:line="326" w:lineRule="exact"/>
        <w:ind w:right="620"/>
        <w:rPr>
          <w:szCs w:val="18"/>
          <w:lang w:val="es-MX"/>
        </w:rPr>
      </w:pPr>
    </w:p>
    <w:p w:rsidR="00926517" w:rsidRPr="00D1234A" w:rsidRDefault="00926517" w:rsidP="00D1234A">
      <w:pPr>
        <w:pStyle w:val="sum"/>
        <w:spacing w:line="326" w:lineRule="exact"/>
        <w:ind w:right="620"/>
        <w:rPr>
          <w:szCs w:val="18"/>
          <w:lang w:val="es-MX"/>
        </w:rPr>
      </w:pPr>
      <w:r w:rsidRPr="00D1234A">
        <w:rPr>
          <w:szCs w:val="18"/>
          <w:lang w:val="es-MX"/>
        </w:rPr>
        <w:t>Sentencia dictada por el Tribunal del Pleno de la Suprema Corte de Justicia de la Nación en la Acción de Inconstitucionalidad 63/2018 y su Acumulada 64/2018, así como los Votos Concurrentes formulados por los Ministros José Fernando Franco González Salas y Jorge Mario</w:t>
      </w:r>
      <w:r w:rsidR="00B54978">
        <w:rPr>
          <w:szCs w:val="18"/>
          <w:lang w:val="es-MX"/>
        </w:rPr>
        <w:t xml:space="preserve"> </w:t>
      </w:r>
      <w:r w:rsidRPr="00D1234A">
        <w:rPr>
          <w:szCs w:val="18"/>
          <w:lang w:val="es-MX"/>
        </w:rPr>
        <w:t xml:space="preserve">Pardo Rebolledo. </w:t>
      </w:r>
    </w:p>
    <w:p w:rsidR="00926517" w:rsidRPr="00D1234A" w:rsidRDefault="00926517" w:rsidP="00D1234A">
      <w:pPr>
        <w:pStyle w:val="sum"/>
        <w:spacing w:line="326" w:lineRule="exact"/>
        <w:ind w:right="620"/>
        <w:rPr>
          <w:szCs w:val="18"/>
          <w:lang w:val="es-MX"/>
        </w:rPr>
      </w:pPr>
    </w:p>
    <w:p w:rsidR="00926517" w:rsidRPr="00D1234A" w:rsidRDefault="00926517" w:rsidP="00D1234A">
      <w:pPr>
        <w:pStyle w:val="sum"/>
        <w:spacing w:line="326" w:lineRule="exact"/>
        <w:ind w:right="620"/>
        <w:rPr>
          <w:rFonts w:ascii="Times New Roman" w:hAnsi="Times New Roman" w:cs="Times New Roman"/>
          <w:b/>
          <w:sz w:val="20"/>
          <w:u w:val="single"/>
          <w:lang w:val="es-MX"/>
        </w:rPr>
      </w:pPr>
      <w:r w:rsidRPr="00D1234A">
        <w:rPr>
          <w:rFonts w:ascii="Times New Roman" w:hAnsi="Times New Roman" w:cs="Times New Roman"/>
          <w:b/>
          <w:sz w:val="20"/>
          <w:u w:val="single"/>
          <w:lang w:val="es-MX"/>
        </w:rPr>
        <w:t>BANCO DE MEXICO</w:t>
      </w:r>
    </w:p>
    <w:p w:rsidR="00926517" w:rsidRPr="00D1234A" w:rsidRDefault="00926517" w:rsidP="00D1234A">
      <w:pPr>
        <w:pStyle w:val="sum"/>
        <w:spacing w:line="326" w:lineRule="exact"/>
        <w:ind w:right="620"/>
        <w:rPr>
          <w:szCs w:val="18"/>
          <w:lang w:val="es-MX"/>
        </w:rPr>
      </w:pPr>
    </w:p>
    <w:p w:rsidR="00926517" w:rsidRPr="00D1234A" w:rsidRDefault="00926517" w:rsidP="00B54978">
      <w:pPr>
        <w:pStyle w:val="sum"/>
        <w:spacing w:line="326" w:lineRule="exact"/>
        <w:ind w:right="620"/>
        <w:rPr>
          <w:szCs w:val="18"/>
          <w:lang w:val="es-MX"/>
        </w:rPr>
      </w:pPr>
      <w:r w:rsidRPr="00D1234A">
        <w:rPr>
          <w:szCs w:val="18"/>
          <w:lang w:val="es-MX"/>
        </w:rPr>
        <w:t>Tipo de cambio para solventar obligaciones denominadas en moneda extranjera pagaderas en la</w:t>
      </w:r>
      <w:r w:rsidR="00B54978">
        <w:rPr>
          <w:szCs w:val="18"/>
          <w:lang w:val="es-MX"/>
        </w:rPr>
        <w:t xml:space="preserve"> </w:t>
      </w:r>
      <w:r w:rsidRPr="00D1234A">
        <w:rPr>
          <w:szCs w:val="18"/>
          <w:lang w:val="es-MX"/>
        </w:rPr>
        <w:t xml:space="preserve">República Mexicana. </w:t>
      </w:r>
      <w:r w:rsidR="00B54978">
        <w:rPr>
          <w:szCs w:val="18"/>
          <w:lang w:val="es-MX"/>
        </w:rPr>
        <w:tab/>
      </w:r>
    </w:p>
    <w:p w:rsidR="00926517" w:rsidRPr="00D1234A" w:rsidRDefault="00926517" w:rsidP="00D1234A">
      <w:pPr>
        <w:pStyle w:val="sum"/>
        <w:spacing w:line="326" w:lineRule="exact"/>
        <w:ind w:right="620"/>
        <w:rPr>
          <w:szCs w:val="18"/>
          <w:lang w:val="es-MX"/>
        </w:rPr>
      </w:pPr>
    </w:p>
    <w:p w:rsidR="00926517" w:rsidRPr="00D1234A" w:rsidRDefault="00926517" w:rsidP="00D1234A">
      <w:pPr>
        <w:pStyle w:val="sum"/>
        <w:spacing w:line="326" w:lineRule="exact"/>
        <w:ind w:right="620"/>
        <w:rPr>
          <w:szCs w:val="18"/>
          <w:lang w:val="es-MX"/>
        </w:rPr>
      </w:pPr>
      <w:r w:rsidRPr="00D1234A">
        <w:rPr>
          <w:szCs w:val="18"/>
          <w:lang w:val="es-MX"/>
        </w:rPr>
        <w:t xml:space="preserve">Tasas de interés interbancarias de equilibrio. </w:t>
      </w:r>
      <w:r w:rsidR="00B54978">
        <w:rPr>
          <w:szCs w:val="18"/>
          <w:lang w:val="es-MX"/>
        </w:rPr>
        <w:tab/>
      </w:r>
    </w:p>
    <w:p w:rsidR="00926517" w:rsidRPr="00D1234A" w:rsidRDefault="00926517" w:rsidP="00D1234A">
      <w:pPr>
        <w:pStyle w:val="sum"/>
        <w:spacing w:line="326" w:lineRule="exact"/>
        <w:ind w:right="620"/>
        <w:rPr>
          <w:szCs w:val="18"/>
          <w:lang w:val="es-MX"/>
        </w:rPr>
      </w:pPr>
    </w:p>
    <w:p w:rsidR="00926517" w:rsidRPr="00D1234A" w:rsidRDefault="00926517" w:rsidP="00D1234A">
      <w:pPr>
        <w:pStyle w:val="sum"/>
        <w:spacing w:line="326" w:lineRule="exact"/>
        <w:ind w:right="620"/>
        <w:rPr>
          <w:szCs w:val="18"/>
          <w:lang w:val="es-MX"/>
        </w:rPr>
      </w:pPr>
      <w:r w:rsidRPr="00D1234A">
        <w:rPr>
          <w:szCs w:val="18"/>
          <w:lang w:val="es-MX"/>
        </w:rPr>
        <w:t xml:space="preserve">Tasa de interés interbancaria de equilibrio de fondeo a un día hábil bancario. </w:t>
      </w:r>
      <w:r w:rsidR="00B54978">
        <w:rPr>
          <w:szCs w:val="18"/>
          <w:lang w:val="es-MX"/>
        </w:rPr>
        <w:tab/>
      </w:r>
    </w:p>
    <w:p w:rsidR="00926517" w:rsidRPr="00D1234A" w:rsidRDefault="00926517" w:rsidP="00D1234A">
      <w:pPr>
        <w:pStyle w:val="sum"/>
        <w:spacing w:line="326" w:lineRule="exact"/>
        <w:ind w:right="620"/>
        <w:rPr>
          <w:szCs w:val="18"/>
          <w:lang w:val="es-MX"/>
        </w:rPr>
      </w:pPr>
    </w:p>
    <w:p w:rsidR="00926517" w:rsidRPr="00B54978" w:rsidRDefault="00926517" w:rsidP="00D1234A">
      <w:pPr>
        <w:pStyle w:val="sum"/>
        <w:spacing w:line="326" w:lineRule="exact"/>
        <w:ind w:right="620"/>
        <w:rPr>
          <w:rFonts w:ascii="Times New Roman" w:hAnsi="Times New Roman" w:cs="Times New Roman"/>
          <w:b/>
          <w:sz w:val="20"/>
          <w:u w:val="single"/>
          <w:lang w:val="es-MX"/>
        </w:rPr>
      </w:pPr>
      <w:r w:rsidRPr="00B54978">
        <w:rPr>
          <w:rFonts w:ascii="Times New Roman" w:hAnsi="Times New Roman" w:cs="Times New Roman"/>
          <w:b/>
          <w:sz w:val="20"/>
          <w:u w:val="single"/>
          <w:lang w:val="es-MX"/>
        </w:rPr>
        <w:t>AVISOS</w:t>
      </w:r>
    </w:p>
    <w:p w:rsidR="00926517" w:rsidRPr="00D1234A" w:rsidRDefault="00926517" w:rsidP="00D1234A">
      <w:pPr>
        <w:pStyle w:val="sum"/>
        <w:spacing w:line="326" w:lineRule="exact"/>
        <w:ind w:right="620"/>
        <w:rPr>
          <w:szCs w:val="18"/>
          <w:lang w:val="es-MX"/>
        </w:rPr>
      </w:pPr>
    </w:p>
    <w:p w:rsidR="007168B9" w:rsidRPr="00D1234A" w:rsidRDefault="00926517" w:rsidP="00D1234A">
      <w:pPr>
        <w:pStyle w:val="sum"/>
        <w:spacing w:line="326" w:lineRule="exact"/>
        <w:ind w:right="620"/>
        <w:rPr>
          <w:szCs w:val="18"/>
          <w:lang w:val="es-MX"/>
        </w:rPr>
      </w:pPr>
      <w:r w:rsidRPr="00B54978">
        <w:rPr>
          <w:szCs w:val="18"/>
          <w:lang w:val="es-MX"/>
        </w:rPr>
        <w:t>Judiciales y gen</w:t>
      </w:r>
      <w:r w:rsidRPr="00D1234A">
        <w:rPr>
          <w:szCs w:val="18"/>
          <w:lang w:val="es-MX"/>
        </w:rPr>
        <w:t xml:space="preserve">erales. </w:t>
      </w:r>
      <w:r w:rsidR="00B54978">
        <w:rPr>
          <w:szCs w:val="18"/>
          <w:lang w:val="es-MX"/>
        </w:rPr>
        <w:tab/>
      </w:r>
      <w:bookmarkStart w:id="0" w:name="_GoBack"/>
      <w:bookmarkEnd w:id="0"/>
    </w:p>
    <w:sectPr w:rsidR="007168B9" w:rsidRPr="00D1234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DD9" w:rsidRDefault="00512DD9" w:rsidP="00926517">
      <w:pPr>
        <w:spacing w:after="0" w:line="240" w:lineRule="auto"/>
      </w:pPr>
      <w:r>
        <w:separator/>
      </w:r>
    </w:p>
  </w:endnote>
  <w:endnote w:type="continuationSeparator" w:id="0">
    <w:p w:rsidR="00512DD9" w:rsidRDefault="00512DD9" w:rsidP="00926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DD9" w:rsidRDefault="00512DD9" w:rsidP="00926517">
      <w:pPr>
        <w:spacing w:after="0" w:line="240" w:lineRule="auto"/>
      </w:pPr>
      <w:r>
        <w:separator/>
      </w:r>
    </w:p>
  </w:footnote>
  <w:footnote w:type="continuationSeparator" w:id="0">
    <w:p w:rsidR="00512DD9" w:rsidRDefault="00512DD9" w:rsidP="00926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17" w:rsidRPr="00926517" w:rsidRDefault="00926517" w:rsidP="00926517">
    <w:pPr>
      <w:widowControl w:val="0"/>
      <w:tabs>
        <w:tab w:val="left" w:pos="3740"/>
        <w:tab w:val="left" w:pos="8280"/>
      </w:tabs>
      <w:autoSpaceDE w:val="0"/>
      <w:autoSpaceDN w:val="0"/>
      <w:adjustRightInd w:val="0"/>
      <w:spacing w:before="72" w:after="0" w:line="203" w:lineRule="exact"/>
      <w:ind w:left="267" w:right="-20"/>
      <w:rPr>
        <w:rFonts w:ascii="Times New Roman" w:hAnsi="Times New Roman"/>
        <w:sz w:val="18"/>
        <w:szCs w:val="18"/>
      </w:rPr>
    </w:pPr>
    <w:r>
      <w:rPr>
        <w:noProof/>
        <w:lang w:eastAsia="es-MX"/>
      </w:rPr>
      <mc:AlternateContent>
        <mc:Choice Requires="wpg">
          <w:drawing>
            <wp:anchor distT="0" distB="0" distL="114300" distR="114300" simplePos="0" relativeHeight="251659264" behindDoc="1" locked="0" layoutInCell="0" allowOverlap="1">
              <wp:simplePos x="0" y="0"/>
              <wp:positionH relativeFrom="page">
                <wp:posOffset>1236980</wp:posOffset>
              </wp:positionH>
              <wp:positionV relativeFrom="paragraph">
                <wp:posOffset>191770</wp:posOffset>
              </wp:positionV>
              <wp:extent cx="5297805" cy="28575"/>
              <wp:effectExtent l="0" t="0" r="0" b="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7805" cy="28575"/>
                        <a:chOff x="1948" y="302"/>
                        <a:chExt cx="8343" cy="45"/>
                      </a:xfrm>
                    </wpg:grpSpPr>
                    <wps:wsp>
                      <wps:cNvPr id="6" name="Freeform 2"/>
                      <wps:cNvSpPr>
                        <a:spLocks/>
                      </wps:cNvSpPr>
                      <wps:spPr bwMode="auto">
                        <a:xfrm>
                          <a:off x="1957" y="339"/>
                          <a:ext cx="8325" cy="0"/>
                        </a:xfrm>
                        <a:custGeom>
                          <a:avLst/>
                          <a:gdLst>
                            <a:gd name="T0" fmla="*/ 0 w 8325"/>
                            <a:gd name="T1" fmla="*/ 8325 w 8325"/>
                          </a:gdLst>
                          <a:ahLst/>
                          <a:cxnLst>
                            <a:cxn ang="0">
                              <a:pos x="T0" y="0"/>
                            </a:cxn>
                            <a:cxn ang="0">
                              <a:pos x="T1" y="0"/>
                            </a:cxn>
                          </a:cxnLst>
                          <a:rect l="0" t="0" r="r" b="b"/>
                          <a:pathLst>
                            <a:path w="8325">
                              <a:moveTo>
                                <a:pt x="0" y="0"/>
                              </a:moveTo>
                              <a:lnTo>
                                <a:pt x="832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3"/>
                      <wps:cNvSpPr>
                        <a:spLocks/>
                      </wps:cNvSpPr>
                      <wps:spPr bwMode="auto">
                        <a:xfrm>
                          <a:off x="1957" y="310"/>
                          <a:ext cx="8325" cy="0"/>
                        </a:xfrm>
                        <a:custGeom>
                          <a:avLst/>
                          <a:gdLst>
                            <a:gd name="T0" fmla="*/ 0 w 8325"/>
                            <a:gd name="T1" fmla="*/ 8325 w 8325"/>
                          </a:gdLst>
                          <a:ahLst/>
                          <a:cxnLst>
                            <a:cxn ang="0">
                              <a:pos x="T0" y="0"/>
                            </a:cxn>
                            <a:cxn ang="0">
                              <a:pos x="T1" y="0"/>
                            </a:cxn>
                          </a:cxnLst>
                          <a:rect l="0" t="0" r="r" b="b"/>
                          <a:pathLst>
                            <a:path w="8325">
                              <a:moveTo>
                                <a:pt x="0" y="0"/>
                              </a:moveTo>
                              <a:lnTo>
                                <a:pt x="832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30C116" id="Grupo 5" o:spid="_x0000_s1026" style="position:absolute;margin-left:97.4pt;margin-top:15.1pt;width:417.15pt;height:2.25pt;z-index:-251657216;mso-position-horizontal-relative:page" coordorigin="1948,302" coordsize="83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" o:allowincell="f">
              <v:shape id="Freeform 2" o:spid="_x0000_s1027" style="position:absolute;left:1957;top:339;width:8325;height:0;visibility:visible;mso-wrap-style:square;v-text-anchor:top" coordsize="8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" path="m,l8325,e" filled="f" strokeweight=".82pt">
                <v:path arrowok="t" o:connecttype="custom" o:connectlocs="0,0;8325,0" o:connectangles="0,0"/>
              </v:shape>
              <v:shape id="Freeform 3" o:spid="_x0000_s1028" style="position:absolute;left:1957;top:310;width:8325;height:0;visibility:visible;mso-wrap-style:square;v-text-anchor:top" coordsize="8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" path="m,l8325,e" filled="f" strokeweight=".82pt">
                <v:path arrowok="t" o:connecttype="custom" o:connectlocs="0,0;8325,0" o:connectangles="0,0"/>
              </v:shape>
              <w10:wrap anchorx="page"/>
            </v:group>
          </w:pict>
        </mc:Fallback>
      </mc:AlternateContent>
    </w:r>
    <w:r>
      <w:rPr>
        <w:rFonts w:ascii="Times New Roman" w:hAnsi="Times New Roman"/>
        <w:position w:val="-1"/>
        <w:sz w:val="18"/>
        <w:szCs w:val="18"/>
      </w:rPr>
      <w:t>Lunes</w:t>
    </w:r>
    <w:r>
      <w:rPr>
        <w:rFonts w:ascii="Times New Roman" w:hAnsi="Times New Roman"/>
        <w:spacing w:val="1"/>
        <w:position w:val="-1"/>
        <w:sz w:val="18"/>
        <w:szCs w:val="18"/>
      </w:rPr>
      <w:t xml:space="preserve"> </w:t>
    </w:r>
    <w:r>
      <w:rPr>
        <w:rFonts w:ascii="Times New Roman" w:hAnsi="Times New Roman"/>
        <w:position w:val="-1"/>
        <w:sz w:val="18"/>
        <w:szCs w:val="18"/>
      </w:rPr>
      <w:t>2</w:t>
    </w:r>
    <w:r>
      <w:rPr>
        <w:rFonts w:ascii="Times New Roman" w:hAnsi="Times New Roman"/>
        <w:spacing w:val="1"/>
        <w:position w:val="-1"/>
        <w:sz w:val="18"/>
        <w:szCs w:val="18"/>
      </w:rPr>
      <w:t xml:space="preserve"> </w:t>
    </w:r>
    <w:r>
      <w:rPr>
        <w:rFonts w:ascii="Times New Roman" w:hAnsi="Times New Roman"/>
        <w:spacing w:val="-1"/>
        <w:position w:val="-1"/>
        <w:sz w:val="18"/>
        <w:szCs w:val="18"/>
      </w:rPr>
      <w:t>d</w:t>
    </w:r>
    <w:r>
      <w:rPr>
        <w:rFonts w:ascii="Times New Roman" w:hAnsi="Times New Roman"/>
        <w:position w:val="-1"/>
        <w:sz w:val="18"/>
        <w:szCs w:val="18"/>
      </w:rPr>
      <w:t>e</w:t>
    </w:r>
    <w:r>
      <w:rPr>
        <w:rFonts w:ascii="Times New Roman" w:hAnsi="Times New Roman"/>
        <w:spacing w:val="1"/>
        <w:position w:val="-1"/>
        <w:sz w:val="18"/>
        <w:szCs w:val="18"/>
      </w:rPr>
      <w:t xml:space="preserve"> </w:t>
    </w:r>
    <w:r>
      <w:rPr>
        <w:rFonts w:ascii="Times New Roman" w:hAnsi="Times New Roman"/>
        <w:position w:val="-1"/>
        <w:sz w:val="18"/>
        <w:szCs w:val="18"/>
      </w:rPr>
      <w:t>ma</w:t>
    </w:r>
    <w:r>
      <w:rPr>
        <w:rFonts w:ascii="Times New Roman" w:hAnsi="Times New Roman"/>
        <w:spacing w:val="-1"/>
        <w:position w:val="-1"/>
        <w:sz w:val="18"/>
        <w:szCs w:val="18"/>
      </w:rPr>
      <w:t>rz</w:t>
    </w:r>
    <w:r>
      <w:rPr>
        <w:rFonts w:ascii="Times New Roman" w:hAnsi="Times New Roman"/>
        <w:position w:val="-1"/>
        <w:sz w:val="18"/>
        <w:szCs w:val="18"/>
      </w:rPr>
      <w:t>o</w:t>
    </w:r>
    <w:r>
      <w:rPr>
        <w:rFonts w:ascii="Times New Roman" w:hAnsi="Times New Roman"/>
        <w:spacing w:val="1"/>
        <w:position w:val="-1"/>
        <w:sz w:val="18"/>
        <w:szCs w:val="18"/>
      </w:rPr>
      <w:t xml:space="preserve"> </w:t>
    </w:r>
    <w:r>
      <w:rPr>
        <w:rFonts w:ascii="Times New Roman" w:hAnsi="Times New Roman"/>
        <w:position w:val="-1"/>
        <w:sz w:val="18"/>
        <w:szCs w:val="18"/>
      </w:rPr>
      <w:t>de</w:t>
    </w:r>
    <w:r>
      <w:rPr>
        <w:rFonts w:ascii="Times New Roman" w:hAnsi="Times New Roman"/>
        <w:spacing w:val="1"/>
        <w:position w:val="-1"/>
        <w:sz w:val="18"/>
        <w:szCs w:val="18"/>
      </w:rPr>
      <w:t xml:space="preserve"> </w:t>
    </w:r>
    <w:r>
      <w:rPr>
        <w:rFonts w:ascii="Times New Roman" w:hAnsi="Times New Roman"/>
        <w:position w:val="-1"/>
        <w:sz w:val="18"/>
        <w:szCs w:val="18"/>
      </w:rPr>
      <w:t>2020</w:t>
    </w:r>
    <w:r>
      <w:rPr>
        <w:rFonts w:ascii="Times New Roman" w:hAnsi="Times New Roman"/>
        <w:position w:val="-1"/>
        <w:sz w:val="18"/>
        <w:szCs w:val="18"/>
      </w:rPr>
      <w:tab/>
      <w:t>DIARIO</w:t>
    </w:r>
    <w:r>
      <w:rPr>
        <w:rFonts w:ascii="Times New Roman" w:hAnsi="Times New Roman"/>
        <w:spacing w:val="1"/>
        <w:position w:val="-1"/>
        <w:sz w:val="18"/>
        <w:szCs w:val="18"/>
      </w:rPr>
      <w:t xml:space="preserve"> </w:t>
    </w:r>
    <w:r>
      <w:rPr>
        <w:rFonts w:ascii="Times New Roman" w:hAnsi="Times New Roman"/>
        <w:position w:val="-1"/>
        <w:sz w:val="18"/>
        <w:szCs w:val="18"/>
      </w:rPr>
      <w:t>OFIC</w:t>
    </w:r>
    <w:r>
      <w:rPr>
        <w:rFonts w:ascii="Times New Roman" w:hAnsi="Times New Roman"/>
        <w:spacing w:val="1"/>
        <w:position w:val="-1"/>
        <w:sz w:val="18"/>
        <w:szCs w:val="18"/>
      </w:rPr>
      <w:t>I</w:t>
    </w:r>
    <w:r>
      <w:rPr>
        <w:rFonts w:ascii="Times New Roman" w:hAnsi="Times New Roman"/>
        <w:position w:val="-1"/>
        <w:sz w:val="18"/>
        <w:szCs w:val="18"/>
      </w:rPr>
      <w:t>AL</w:t>
    </w:r>
    <w:r>
      <w:rPr>
        <w:rFonts w:ascii="Times New Roman" w:hAnsi="Times New Roman"/>
        <w:position w:val="-1"/>
        <w:sz w:val="18"/>
        <w:szCs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17"/>
    <w:rsid w:val="00404EC6"/>
    <w:rsid w:val="00512DD9"/>
    <w:rsid w:val="007168B9"/>
    <w:rsid w:val="00926517"/>
    <w:rsid w:val="00B54978"/>
    <w:rsid w:val="00D123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0EF05"/>
  <w15:chartTrackingRefBased/>
  <w15:docId w15:val="{3A80CA80-5327-402A-9385-5B2E2B39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65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6517"/>
  </w:style>
  <w:style w:type="paragraph" w:styleId="Piedepgina">
    <w:name w:val="footer"/>
    <w:basedOn w:val="Normal"/>
    <w:link w:val="PiedepginaCar"/>
    <w:uiPriority w:val="99"/>
    <w:unhideWhenUsed/>
    <w:rsid w:val="009265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6517"/>
  </w:style>
  <w:style w:type="paragraph" w:customStyle="1" w:styleId="sum">
    <w:name w:val="sum"/>
    <w:basedOn w:val="Normal"/>
    <w:link w:val="sumCar"/>
    <w:rsid w:val="00D1234A"/>
    <w:pPr>
      <w:tabs>
        <w:tab w:val="right" w:leader="dot" w:pos="8100"/>
        <w:tab w:val="right" w:pos="8640"/>
      </w:tabs>
      <w:spacing w:after="0" w:line="266" w:lineRule="exact"/>
      <w:ind w:left="274" w:right="749"/>
      <w:jc w:val="both"/>
    </w:pPr>
    <w:rPr>
      <w:rFonts w:ascii="Arial" w:eastAsia="Times New Roman" w:hAnsi="Arial" w:cs="Arial"/>
      <w:sz w:val="18"/>
      <w:szCs w:val="20"/>
      <w:lang w:val="es-ES_tradnl" w:eastAsia="es-ES"/>
    </w:rPr>
  </w:style>
  <w:style w:type="character" w:customStyle="1" w:styleId="sumCar">
    <w:name w:val="sum Car"/>
    <w:link w:val="sum"/>
    <w:rsid w:val="00D1234A"/>
    <w:rPr>
      <w:rFonts w:ascii="Arial" w:eastAsia="Times New Roman" w:hAnsi="Arial" w:cs="Arial"/>
      <w:sz w:val="18"/>
      <w:szCs w:val="20"/>
      <w:lang w:val="es-ES_tradnl" w:eastAsia="es-ES"/>
    </w:rPr>
  </w:style>
  <w:style w:type="paragraph" w:styleId="Textodeglobo">
    <w:name w:val="Balloon Text"/>
    <w:basedOn w:val="Normal"/>
    <w:link w:val="TextodegloboCar"/>
    <w:uiPriority w:val="99"/>
    <w:semiHidden/>
    <w:unhideWhenUsed/>
    <w:rsid w:val="00B549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49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464</Words>
  <Characters>2554</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Cruz Caloch</dc:creator>
  <cp:keywords/>
  <dc:description/>
  <cp:lastModifiedBy>Leticia Cruz Caloch</cp:lastModifiedBy>
  <cp:revision>4</cp:revision>
  <cp:lastPrinted>2020-03-02T16:40:00Z</cp:lastPrinted>
  <dcterms:created xsi:type="dcterms:W3CDTF">2020-03-02T16:18:00Z</dcterms:created>
  <dcterms:modified xsi:type="dcterms:W3CDTF">2020-03-02T16:40:00Z</dcterms:modified>
</cp:coreProperties>
</file>